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518CA" w14:textId="77777777" w:rsidR="003A256E" w:rsidRDefault="008E0744" w:rsidP="003A256E">
      <w:pPr>
        <w:widowControl/>
        <w:tabs>
          <w:tab w:val="center" w:pos="4680"/>
        </w:tabs>
      </w:pPr>
      <w:r>
        <w:tab/>
      </w:r>
      <w:r w:rsidR="00114291">
        <w:rPr>
          <w:b/>
        </w:rPr>
        <w:t xml:space="preserve">Guidelines for the Final </w:t>
      </w:r>
      <w:r w:rsidR="003A256E">
        <w:rPr>
          <w:b/>
        </w:rPr>
        <w:t>Memorandum</w:t>
      </w:r>
    </w:p>
    <w:p w14:paraId="69B4D4AC" w14:textId="77777777" w:rsidR="003A256E" w:rsidRDefault="003A256E" w:rsidP="003A256E">
      <w:pPr>
        <w:widowControl/>
        <w:jc w:val="both"/>
      </w:pPr>
    </w:p>
    <w:p w14:paraId="594FBBC6" w14:textId="77777777" w:rsidR="003A256E" w:rsidRPr="003A256E" w:rsidRDefault="003A256E" w:rsidP="003A256E">
      <w:pPr>
        <w:widowControl/>
        <w:jc w:val="both"/>
        <w:rPr>
          <w:b/>
        </w:rPr>
      </w:pPr>
      <w:r>
        <w:t xml:space="preserve">For the final assignment in this course, you will </w:t>
      </w:r>
      <w:r w:rsidR="0071287C">
        <w:t xml:space="preserve">choose </w:t>
      </w:r>
      <w:r w:rsidR="00114291">
        <w:t>one of two</w:t>
      </w:r>
      <w:r>
        <w:t xml:space="preserve"> tasks</w:t>
      </w:r>
      <w:r w:rsidR="0071287C">
        <w:t xml:space="preserve"> and complete an appropriate</w:t>
      </w:r>
      <w:r w:rsidR="007A3B0C">
        <w:t xml:space="preserve"> </w:t>
      </w:r>
      <w:r w:rsidR="00114291">
        <w:t xml:space="preserve">memorandum </w:t>
      </w:r>
      <w:r w:rsidR="007A3B0C">
        <w:t>response</w:t>
      </w:r>
      <w:r>
        <w:t xml:space="preserve">.  </w:t>
      </w:r>
      <w:r w:rsidRPr="003A256E">
        <w:rPr>
          <w:b/>
        </w:rPr>
        <w:t xml:space="preserve">You must upload your response to the assignment </w:t>
      </w:r>
      <w:r>
        <w:rPr>
          <w:b/>
        </w:rPr>
        <w:t xml:space="preserve">as a Word file </w:t>
      </w:r>
      <w:r w:rsidRPr="003A256E">
        <w:rPr>
          <w:b/>
        </w:rPr>
        <w:t>within four hours of the time you first access the assignment</w:t>
      </w:r>
      <w:r w:rsidR="00114291">
        <w:rPr>
          <w:b/>
        </w:rPr>
        <w:t xml:space="preserve"> (or within the time period allowed by your accommodation)</w:t>
      </w:r>
      <w:r w:rsidRPr="003A256E">
        <w:rPr>
          <w:b/>
        </w:rPr>
        <w:t>.</w:t>
      </w:r>
      <w:r>
        <w:rPr>
          <w:b/>
        </w:rPr>
        <w:t xml:space="preserve">   </w:t>
      </w:r>
      <w:r>
        <w:t xml:space="preserve">The assignment will be available after </w:t>
      </w:r>
      <w:r w:rsidR="00114291">
        <w:t xml:space="preserve"> noon on Monday, May 5</w:t>
      </w:r>
      <w:r>
        <w:t xml:space="preserve"> </w:t>
      </w:r>
      <w:r w:rsidR="0071287C">
        <w:t>(I want to respect the spirit of the reading period)</w:t>
      </w:r>
      <w:r w:rsidR="00387310">
        <w:t>,</w:t>
      </w:r>
      <w:r w:rsidR="0071287C">
        <w:t xml:space="preserve"> </w:t>
      </w:r>
      <w:r>
        <w:t xml:space="preserve">and </w:t>
      </w:r>
      <w:r w:rsidRPr="003A256E">
        <w:rPr>
          <w:b/>
        </w:rPr>
        <w:t>you must complete the assignment b</w:t>
      </w:r>
      <w:r w:rsidR="00387310">
        <w:rPr>
          <w:b/>
        </w:rPr>
        <w:t xml:space="preserve">y </w:t>
      </w:r>
      <w:r w:rsidR="00114291">
        <w:rPr>
          <w:b/>
        </w:rPr>
        <w:t>5pm on Saturday, May 10 (seniors) or 12:30pm on Friday, May 16</w:t>
      </w:r>
      <w:r w:rsidRPr="003A256E">
        <w:rPr>
          <w:b/>
        </w:rPr>
        <w:t>.</w:t>
      </w:r>
    </w:p>
    <w:p w14:paraId="62E38D58" w14:textId="77777777" w:rsidR="003A256E" w:rsidRDefault="003A256E" w:rsidP="003A256E">
      <w:pPr>
        <w:widowControl/>
        <w:jc w:val="both"/>
        <w:rPr>
          <w:b/>
        </w:rPr>
      </w:pPr>
    </w:p>
    <w:p w14:paraId="4EB250D2" w14:textId="77777777" w:rsidR="003A256E" w:rsidRPr="00114291" w:rsidRDefault="003A256E" w:rsidP="00114291">
      <w:pPr>
        <w:widowControl/>
        <w:jc w:val="both"/>
      </w:pPr>
      <w:r>
        <w:t>There are no restrictions on accessing any notes, texts, or other source materials; however you are on your honor not to discuss the details of the assignment with anyone from the time you have access</w:t>
      </w:r>
      <w:r w:rsidR="00C43D5F">
        <w:t>ed it until the end of exam period</w:t>
      </w:r>
      <w:r>
        <w:t xml:space="preserve">.  You are free to study with other class members so long as none of you has started the assignment. </w:t>
      </w:r>
    </w:p>
    <w:p w14:paraId="29D358B0" w14:textId="77777777" w:rsidR="00114291" w:rsidRDefault="00114291" w:rsidP="00C35621">
      <w:pPr>
        <w:widowControl/>
      </w:pPr>
    </w:p>
    <w:p w14:paraId="2BFE2DF5" w14:textId="77777777" w:rsidR="00693514" w:rsidRDefault="003A256E" w:rsidP="00C35621">
      <w:pPr>
        <w:widowControl/>
      </w:pPr>
      <w:r>
        <w:t xml:space="preserve">Your response needs to be attentive to the needs of the audience implied by the assignment, but clearly reflect a correct application of the relevant </w:t>
      </w:r>
      <w:r w:rsidR="00114291">
        <w:t>analytical tool</w:t>
      </w:r>
      <w:r>
        <w:t>.   Respect the conventions of the form you use to present your analysis.</w:t>
      </w:r>
      <w:r w:rsidR="00114291">
        <w:t xml:space="preserve">  </w:t>
      </w:r>
      <w:r w:rsidR="00693514">
        <w:t>I will</w:t>
      </w:r>
      <w:r w:rsidR="001D1C45">
        <w:t xml:space="preserve"> evaluate your response using </w:t>
      </w:r>
      <w:r w:rsidR="00693514">
        <w:t xml:space="preserve">the following rubric: </w:t>
      </w:r>
    </w:p>
    <w:p w14:paraId="5135D78F" w14:textId="77777777" w:rsidR="003A256E" w:rsidRPr="00C35621" w:rsidRDefault="003A256E" w:rsidP="003A256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1605"/>
        <w:gridCol w:w="1771"/>
        <w:gridCol w:w="1772"/>
      </w:tblGrid>
      <w:tr w:rsidR="00F26E1F" w:rsidRPr="00F26E1F" w14:paraId="5ED9A182" w14:textId="77777777" w:rsidTr="00F26E1F">
        <w:tc>
          <w:tcPr>
            <w:tcW w:w="2088" w:type="dxa"/>
            <w:shd w:val="clear" w:color="auto" w:fill="auto"/>
          </w:tcPr>
          <w:p w14:paraId="199B74B3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BD8B224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43371B58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E1F">
              <w:rPr>
                <w:sz w:val="20"/>
                <w:szCs w:val="20"/>
              </w:rPr>
              <w:t>Exemplary</w:t>
            </w:r>
          </w:p>
          <w:p w14:paraId="3420DA02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E1F">
              <w:rPr>
                <w:sz w:val="20"/>
                <w:szCs w:val="2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14:paraId="6B584CCD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358738A7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E1F">
              <w:rPr>
                <w:sz w:val="20"/>
                <w:szCs w:val="20"/>
              </w:rPr>
              <w:t>High Quality</w:t>
            </w:r>
          </w:p>
          <w:p w14:paraId="1F9532F7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E1F">
              <w:rPr>
                <w:sz w:val="20"/>
                <w:szCs w:val="20"/>
              </w:rPr>
              <w:t>4</w:t>
            </w:r>
          </w:p>
        </w:tc>
        <w:tc>
          <w:tcPr>
            <w:tcW w:w="1771" w:type="dxa"/>
            <w:shd w:val="clear" w:color="auto" w:fill="auto"/>
          </w:tcPr>
          <w:p w14:paraId="39D0EE78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1F59490A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E1F">
              <w:rPr>
                <w:sz w:val="20"/>
                <w:szCs w:val="20"/>
              </w:rPr>
              <w:t>Adequate</w:t>
            </w:r>
          </w:p>
          <w:p w14:paraId="3F53B723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E1F"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14:paraId="09A57D87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E1F">
              <w:rPr>
                <w:sz w:val="20"/>
                <w:szCs w:val="20"/>
              </w:rPr>
              <w:t>Needs Improvement</w:t>
            </w:r>
          </w:p>
          <w:p w14:paraId="2CCD6648" w14:textId="77777777" w:rsidR="003A256E" w:rsidRPr="00F26E1F" w:rsidRDefault="003A256E" w:rsidP="00F26E1F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26E1F">
              <w:rPr>
                <w:sz w:val="20"/>
                <w:szCs w:val="20"/>
              </w:rPr>
              <w:t>2</w:t>
            </w:r>
          </w:p>
        </w:tc>
      </w:tr>
      <w:tr w:rsidR="00F26E1F" w:rsidRPr="00F26E1F" w14:paraId="375A782B" w14:textId="77777777" w:rsidTr="00F26E1F">
        <w:tc>
          <w:tcPr>
            <w:tcW w:w="2088" w:type="dxa"/>
            <w:shd w:val="clear" w:color="auto" w:fill="auto"/>
          </w:tcPr>
          <w:p w14:paraId="5E15F1C2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Attention to Form</w:t>
            </w:r>
          </w:p>
        </w:tc>
        <w:tc>
          <w:tcPr>
            <w:tcW w:w="1620" w:type="dxa"/>
            <w:shd w:val="clear" w:color="auto" w:fill="auto"/>
          </w:tcPr>
          <w:p w14:paraId="0AE89125" w14:textId="77777777" w:rsidR="003A256E" w:rsidRPr="00F26E1F" w:rsidRDefault="003A256E" w:rsidP="009A7F7C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Effective use of</w:t>
            </w:r>
            <w:r w:rsidR="009A7F7C" w:rsidRPr="00F26E1F">
              <w:rPr>
                <w:rFonts w:eastAsia="PMingLiU"/>
                <w:sz w:val="20"/>
                <w:szCs w:val="20"/>
              </w:rPr>
              <w:t xml:space="preserve"> form</w:t>
            </w:r>
            <w:r w:rsidRPr="00F26E1F">
              <w:rPr>
                <w:rFonts w:eastAsia="PMingLiU"/>
                <w:sz w:val="20"/>
                <w:szCs w:val="20"/>
              </w:rPr>
              <w:t xml:space="preserve"> conventions </w:t>
            </w:r>
          </w:p>
        </w:tc>
        <w:tc>
          <w:tcPr>
            <w:tcW w:w="1605" w:type="dxa"/>
            <w:shd w:val="clear" w:color="auto" w:fill="auto"/>
          </w:tcPr>
          <w:p w14:paraId="171500FA" w14:textId="77777777" w:rsidR="003A256E" w:rsidRPr="00F26E1F" w:rsidRDefault="003A256E" w:rsidP="009A7F7C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 xml:space="preserve">No missing elements </w:t>
            </w:r>
          </w:p>
        </w:tc>
        <w:tc>
          <w:tcPr>
            <w:tcW w:w="1771" w:type="dxa"/>
            <w:shd w:val="clear" w:color="auto" w:fill="auto"/>
          </w:tcPr>
          <w:p w14:paraId="1BD323B4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No more than one or two missing or flawed elements</w:t>
            </w:r>
          </w:p>
        </w:tc>
        <w:tc>
          <w:tcPr>
            <w:tcW w:w="1772" w:type="dxa"/>
            <w:shd w:val="clear" w:color="auto" w:fill="auto"/>
          </w:tcPr>
          <w:p w14:paraId="0E0D82AA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More than two missing or flawed elements</w:t>
            </w:r>
          </w:p>
        </w:tc>
      </w:tr>
      <w:tr w:rsidR="00F26E1F" w:rsidRPr="00F26E1F" w14:paraId="480CD1F3" w14:textId="77777777" w:rsidTr="00F26E1F">
        <w:tc>
          <w:tcPr>
            <w:tcW w:w="2088" w:type="dxa"/>
            <w:shd w:val="clear" w:color="auto" w:fill="auto"/>
          </w:tcPr>
          <w:p w14:paraId="24C0DD3E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Clear thesis</w:t>
            </w:r>
          </w:p>
          <w:p w14:paraId="15F46247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B6AED99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Easy to identify author’s bottom line</w:t>
            </w:r>
          </w:p>
        </w:tc>
        <w:tc>
          <w:tcPr>
            <w:tcW w:w="1605" w:type="dxa"/>
            <w:shd w:val="clear" w:color="auto" w:fill="auto"/>
          </w:tcPr>
          <w:p w14:paraId="3029DC14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Possible to identify main conclusion</w:t>
            </w:r>
          </w:p>
        </w:tc>
        <w:tc>
          <w:tcPr>
            <w:tcW w:w="1771" w:type="dxa"/>
            <w:shd w:val="clear" w:color="auto" w:fill="auto"/>
          </w:tcPr>
          <w:p w14:paraId="50ECA868" w14:textId="77777777" w:rsidR="003A256E" w:rsidRPr="00F26E1F" w:rsidRDefault="009A7F7C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O</w:t>
            </w:r>
            <w:r w:rsidR="003A256E" w:rsidRPr="00F26E1F">
              <w:rPr>
                <w:rFonts w:eastAsia="PMingLiU"/>
                <w:sz w:val="20"/>
                <w:szCs w:val="20"/>
              </w:rPr>
              <w:t>n point but thesis ambiguous</w:t>
            </w:r>
          </w:p>
        </w:tc>
        <w:tc>
          <w:tcPr>
            <w:tcW w:w="1772" w:type="dxa"/>
            <w:shd w:val="clear" w:color="auto" w:fill="auto"/>
          </w:tcPr>
          <w:p w14:paraId="22058004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Does not fully address assignment</w:t>
            </w:r>
          </w:p>
        </w:tc>
      </w:tr>
      <w:tr w:rsidR="00F26E1F" w:rsidRPr="00F26E1F" w14:paraId="71A8B5D5" w14:textId="77777777" w:rsidTr="00F26E1F">
        <w:tc>
          <w:tcPr>
            <w:tcW w:w="2088" w:type="dxa"/>
            <w:shd w:val="clear" w:color="auto" w:fill="auto"/>
          </w:tcPr>
          <w:p w14:paraId="2EDF2F78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Audience</w:t>
            </w:r>
          </w:p>
        </w:tc>
        <w:tc>
          <w:tcPr>
            <w:tcW w:w="1620" w:type="dxa"/>
            <w:shd w:val="clear" w:color="auto" w:fill="auto"/>
          </w:tcPr>
          <w:p w14:paraId="432CE06A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Establishes direct rapport with target audience</w:t>
            </w:r>
          </w:p>
        </w:tc>
        <w:tc>
          <w:tcPr>
            <w:tcW w:w="1605" w:type="dxa"/>
            <w:shd w:val="clear" w:color="auto" w:fill="auto"/>
          </w:tcPr>
          <w:p w14:paraId="2BAA29D6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Easy to infer the target audience</w:t>
            </w:r>
          </w:p>
        </w:tc>
        <w:tc>
          <w:tcPr>
            <w:tcW w:w="1771" w:type="dxa"/>
            <w:shd w:val="clear" w:color="auto" w:fill="auto"/>
          </w:tcPr>
          <w:p w14:paraId="3A13BCBA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Avoids jargon and arguments unlikely to connect with reader</w:t>
            </w:r>
          </w:p>
        </w:tc>
        <w:tc>
          <w:tcPr>
            <w:tcW w:w="1772" w:type="dxa"/>
            <w:shd w:val="clear" w:color="auto" w:fill="auto"/>
          </w:tcPr>
          <w:p w14:paraId="223BF813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Target audience would struggle to follow argument</w:t>
            </w:r>
          </w:p>
        </w:tc>
      </w:tr>
      <w:tr w:rsidR="00F26E1F" w:rsidRPr="00F26E1F" w14:paraId="7B555B2A" w14:textId="77777777" w:rsidTr="00F26E1F">
        <w:tc>
          <w:tcPr>
            <w:tcW w:w="2088" w:type="dxa"/>
            <w:shd w:val="clear" w:color="auto" w:fill="auto"/>
          </w:tcPr>
          <w:p w14:paraId="7054B0C6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Structure</w:t>
            </w:r>
          </w:p>
        </w:tc>
        <w:tc>
          <w:tcPr>
            <w:tcW w:w="1620" w:type="dxa"/>
            <w:shd w:val="clear" w:color="auto" w:fill="auto"/>
          </w:tcPr>
          <w:p w14:paraId="7C0E9AA1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Seamlessly promotes thesis</w:t>
            </w:r>
          </w:p>
        </w:tc>
        <w:tc>
          <w:tcPr>
            <w:tcW w:w="1605" w:type="dxa"/>
            <w:shd w:val="clear" w:color="auto" w:fill="auto"/>
          </w:tcPr>
          <w:p w14:paraId="574F18AF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No missing steps</w:t>
            </w:r>
          </w:p>
        </w:tc>
        <w:tc>
          <w:tcPr>
            <w:tcW w:w="1771" w:type="dxa"/>
            <w:shd w:val="clear" w:color="auto" w:fill="auto"/>
          </w:tcPr>
          <w:p w14:paraId="1072D7B4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Missing  or  extraneous steps; or faulty organization</w:t>
            </w:r>
          </w:p>
        </w:tc>
        <w:tc>
          <w:tcPr>
            <w:tcW w:w="1772" w:type="dxa"/>
            <w:shd w:val="clear" w:color="auto" w:fill="auto"/>
          </w:tcPr>
          <w:p w14:paraId="20C9DDF9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Holes or detours in text distract from thesis</w:t>
            </w:r>
          </w:p>
        </w:tc>
      </w:tr>
      <w:tr w:rsidR="00F34CC9" w:rsidRPr="00F26E1F" w14:paraId="46D06E7C" w14:textId="77777777" w:rsidTr="00F26E1F">
        <w:tc>
          <w:tcPr>
            <w:tcW w:w="2088" w:type="dxa"/>
            <w:shd w:val="clear" w:color="auto" w:fill="auto"/>
          </w:tcPr>
          <w:p w14:paraId="43B22E7D" w14:textId="40C9547C" w:rsidR="00F34CC9" w:rsidRPr="00C1471B" w:rsidRDefault="00F34CC9" w:rsidP="00F34CC9">
            <w:pPr>
              <w:rPr>
                <w:rFonts w:eastAsia="PMingLiU"/>
                <w:sz w:val="20"/>
                <w:szCs w:val="20"/>
              </w:rPr>
            </w:pPr>
            <w:r w:rsidRPr="00C1471B">
              <w:rPr>
                <w:sz w:val="20"/>
                <w:szCs w:val="20"/>
              </w:rPr>
              <w:t>Analytical Tool</w:t>
            </w:r>
          </w:p>
        </w:tc>
        <w:tc>
          <w:tcPr>
            <w:tcW w:w="1620" w:type="dxa"/>
            <w:shd w:val="clear" w:color="auto" w:fill="auto"/>
          </w:tcPr>
          <w:p w14:paraId="25AE5A63" w14:textId="3E46EE30" w:rsidR="00F34CC9" w:rsidRPr="00C1471B" w:rsidRDefault="00F34CC9" w:rsidP="00F34CC9">
            <w:pPr>
              <w:rPr>
                <w:rFonts w:eastAsia="PMingLiU"/>
                <w:sz w:val="20"/>
                <w:szCs w:val="20"/>
              </w:rPr>
            </w:pPr>
            <w:r w:rsidRPr="00C1471B">
              <w:rPr>
                <w:sz w:val="20"/>
                <w:szCs w:val="20"/>
              </w:rPr>
              <w:t>Especially easy to make sense of correct tool</w:t>
            </w:r>
          </w:p>
        </w:tc>
        <w:tc>
          <w:tcPr>
            <w:tcW w:w="1605" w:type="dxa"/>
            <w:shd w:val="clear" w:color="auto" w:fill="auto"/>
          </w:tcPr>
          <w:p w14:paraId="2CCE4DCD" w14:textId="06BAFB0F" w:rsidR="00F34CC9" w:rsidRPr="00C1471B" w:rsidRDefault="00F34CC9" w:rsidP="00F34CC9">
            <w:pPr>
              <w:rPr>
                <w:rFonts w:eastAsia="PMingLiU"/>
                <w:sz w:val="20"/>
                <w:szCs w:val="20"/>
              </w:rPr>
            </w:pPr>
            <w:r w:rsidRPr="00C1471B">
              <w:rPr>
                <w:sz w:val="20"/>
                <w:szCs w:val="20"/>
              </w:rPr>
              <w:t xml:space="preserve">Complete and correct </w:t>
            </w:r>
          </w:p>
        </w:tc>
        <w:tc>
          <w:tcPr>
            <w:tcW w:w="1771" w:type="dxa"/>
            <w:shd w:val="clear" w:color="auto" w:fill="auto"/>
          </w:tcPr>
          <w:p w14:paraId="018B700B" w14:textId="61D4FC51" w:rsidR="00F34CC9" w:rsidRPr="00C1471B" w:rsidRDefault="00F34CC9" w:rsidP="00F34CC9">
            <w:pPr>
              <w:rPr>
                <w:rFonts w:eastAsia="PMingLiU"/>
                <w:sz w:val="20"/>
                <w:szCs w:val="20"/>
              </w:rPr>
            </w:pPr>
            <w:r w:rsidRPr="00C1471B">
              <w:rPr>
                <w:sz w:val="20"/>
                <w:szCs w:val="20"/>
              </w:rPr>
              <w:t>No more than mino</w:t>
            </w:r>
            <w:r w:rsidR="00C1471B">
              <w:rPr>
                <w:sz w:val="20"/>
                <w:szCs w:val="20"/>
              </w:rPr>
              <w:t xml:space="preserve">r glitches in presenting </w:t>
            </w:r>
            <w:r w:rsidRPr="00C1471B">
              <w:rPr>
                <w:sz w:val="20"/>
                <w:szCs w:val="20"/>
              </w:rPr>
              <w:t>tool</w:t>
            </w:r>
          </w:p>
        </w:tc>
        <w:tc>
          <w:tcPr>
            <w:tcW w:w="1772" w:type="dxa"/>
            <w:shd w:val="clear" w:color="auto" w:fill="auto"/>
          </w:tcPr>
          <w:p w14:paraId="5D55FCCF" w14:textId="35320140" w:rsidR="00F34CC9" w:rsidRPr="00C1471B" w:rsidRDefault="00F34CC9" w:rsidP="00F34CC9">
            <w:pPr>
              <w:rPr>
                <w:rFonts w:eastAsia="PMingLiU"/>
                <w:sz w:val="20"/>
                <w:szCs w:val="20"/>
              </w:rPr>
            </w:pPr>
            <w:r w:rsidRPr="00C1471B">
              <w:rPr>
                <w:sz w:val="20"/>
                <w:szCs w:val="20"/>
              </w:rPr>
              <w:t>Inappropriate tool or fundamentally misapplied</w:t>
            </w:r>
          </w:p>
        </w:tc>
      </w:tr>
      <w:tr w:rsidR="00F34CC9" w:rsidRPr="00F26E1F" w14:paraId="0957A694" w14:textId="77777777" w:rsidTr="00F26E1F">
        <w:tc>
          <w:tcPr>
            <w:tcW w:w="2088" w:type="dxa"/>
            <w:shd w:val="clear" w:color="auto" w:fill="auto"/>
          </w:tcPr>
          <w:p w14:paraId="7011E398" w14:textId="340BA4E4" w:rsidR="00F34CC9" w:rsidRPr="00C1471B" w:rsidRDefault="00F34CC9" w:rsidP="00F34CC9">
            <w:pPr>
              <w:rPr>
                <w:rFonts w:eastAsia="PMingLiU"/>
                <w:sz w:val="20"/>
                <w:szCs w:val="20"/>
              </w:rPr>
            </w:pPr>
            <w:r w:rsidRPr="00C1471B">
              <w:rPr>
                <w:sz w:val="20"/>
                <w:szCs w:val="20"/>
              </w:rPr>
              <w:t>Integration of Analytical Tool</w:t>
            </w:r>
          </w:p>
        </w:tc>
        <w:tc>
          <w:tcPr>
            <w:tcW w:w="1620" w:type="dxa"/>
            <w:shd w:val="clear" w:color="auto" w:fill="auto"/>
          </w:tcPr>
          <w:p w14:paraId="79552731" w14:textId="0B694540" w:rsidR="00F34CC9" w:rsidRPr="00C1471B" w:rsidRDefault="00F34CC9" w:rsidP="00F34CC9">
            <w:pPr>
              <w:rPr>
                <w:rFonts w:eastAsia="PMingLiU"/>
                <w:sz w:val="20"/>
                <w:szCs w:val="20"/>
              </w:rPr>
            </w:pPr>
            <w:r w:rsidRPr="00C1471B">
              <w:rPr>
                <w:sz w:val="20"/>
                <w:szCs w:val="20"/>
              </w:rPr>
              <w:t>Seaml</w:t>
            </w:r>
            <w:r w:rsidR="00C1471B">
              <w:rPr>
                <w:sz w:val="20"/>
                <w:szCs w:val="20"/>
              </w:rPr>
              <w:t>ess integration of text and tool</w:t>
            </w:r>
          </w:p>
        </w:tc>
        <w:tc>
          <w:tcPr>
            <w:tcW w:w="1605" w:type="dxa"/>
            <w:shd w:val="clear" w:color="auto" w:fill="auto"/>
          </w:tcPr>
          <w:p w14:paraId="52CD6F12" w14:textId="5D0C9D92" w:rsidR="00F34CC9" w:rsidRPr="00C1471B" w:rsidRDefault="00C1471B" w:rsidP="009A7F7C">
            <w:pPr>
              <w:rPr>
                <w:rFonts w:eastAsia="PMingLiU"/>
                <w:sz w:val="20"/>
                <w:szCs w:val="20"/>
              </w:rPr>
            </w:pPr>
            <w:r>
              <w:rPr>
                <w:sz w:val="20"/>
                <w:szCs w:val="20"/>
              </w:rPr>
              <w:t>Tool used to enhance, not  duplicate text</w:t>
            </w:r>
            <w:bookmarkStart w:id="0" w:name="_GoBack"/>
            <w:bookmarkEnd w:id="0"/>
          </w:p>
        </w:tc>
        <w:tc>
          <w:tcPr>
            <w:tcW w:w="1771" w:type="dxa"/>
            <w:shd w:val="clear" w:color="auto" w:fill="auto"/>
          </w:tcPr>
          <w:p w14:paraId="2E2AF183" w14:textId="771961DE" w:rsidR="00F34CC9" w:rsidRPr="00C1471B" w:rsidRDefault="00C1471B" w:rsidP="00F34CC9">
            <w:pPr>
              <w:rPr>
                <w:rFonts w:eastAsia="PMingLiU"/>
                <w:sz w:val="20"/>
                <w:szCs w:val="20"/>
              </w:rPr>
            </w:pPr>
            <w:r>
              <w:rPr>
                <w:sz w:val="20"/>
                <w:szCs w:val="20"/>
              </w:rPr>
              <w:t>Tool</w:t>
            </w:r>
            <w:r w:rsidR="00F34CC9" w:rsidRPr="00C1471B">
              <w:rPr>
                <w:sz w:val="20"/>
                <w:szCs w:val="20"/>
              </w:rPr>
              <w:t xml:space="preserve"> and text are mutually consistent</w:t>
            </w:r>
          </w:p>
        </w:tc>
        <w:tc>
          <w:tcPr>
            <w:tcW w:w="1772" w:type="dxa"/>
            <w:shd w:val="clear" w:color="auto" w:fill="auto"/>
          </w:tcPr>
          <w:p w14:paraId="407FFE9D" w14:textId="6CE39D10" w:rsidR="00F34CC9" w:rsidRPr="00C1471B" w:rsidRDefault="00F34CC9" w:rsidP="00F34CC9">
            <w:pPr>
              <w:rPr>
                <w:rFonts w:eastAsia="PMingLiU"/>
                <w:sz w:val="20"/>
                <w:szCs w:val="20"/>
              </w:rPr>
            </w:pPr>
            <w:r w:rsidRPr="00C1471B">
              <w:rPr>
                <w:sz w:val="20"/>
                <w:szCs w:val="20"/>
              </w:rPr>
              <w:t>Poor placement</w:t>
            </w:r>
            <w:r w:rsidR="00C1471B">
              <w:rPr>
                <w:sz w:val="20"/>
                <w:szCs w:val="20"/>
              </w:rPr>
              <w:t xml:space="preserve"> or tool</w:t>
            </w:r>
            <w:r w:rsidRPr="00C1471B">
              <w:rPr>
                <w:sz w:val="20"/>
                <w:szCs w:val="20"/>
              </w:rPr>
              <w:t xml:space="preserve"> inconsistent with text</w:t>
            </w:r>
          </w:p>
        </w:tc>
      </w:tr>
      <w:tr w:rsidR="00F26E1F" w:rsidRPr="00F26E1F" w14:paraId="74F1CEDE" w14:textId="77777777" w:rsidTr="00F26E1F">
        <w:tc>
          <w:tcPr>
            <w:tcW w:w="2088" w:type="dxa"/>
            <w:shd w:val="clear" w:color="auto" w:fill="auto"/>
          </w:tcPr>
          <w:p w14:paraId="2D15FF4B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 xml:space="preserve">Attention to Presentation </w:t>
            </w:r>
          </w:p>
        </w:tc>
        <w:tc>
          <w:tcPr>
            <w:tcW w:w="1620" w:type="dxa"/>
            <w:shd w:val="clear" w:color="auto" w:fill="auto"/>
          </w:tcPr>
          <w:p w14:paraId="3FEFAC86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A pleasure to read</w:t>
            </w:r>
          </w:p>
        </w:tc>
        <w:tc>
          <w:tcPr>
            <w:tcW w:w="1605" w:type="dxa"/>
            <w:shd w:val="clear" w:color="auto" w:fill="auto"/>
          </w:tcPr>
          <w:p w14:paraId="68BA6712" w14:textId="77777777" w:rsidR="003A256E" w:rsidRPr="00F26E1F" w:rsidRDefault="003A256E" w:rsidP="009A7F7C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 xml:space="preserve">No more than </w:t>
            </w:r>
            <w:r w:rsidR="009A7F7C" w:rsidRPr="00F26E1F">
              <w:rPr>
                <w:rFonts w:eastAsia="PMingLiU"/>
                <w:sz w:val="20"/>
                <w:szCs w:val="20"/>
              </w:rPr>
              <w:t>1-2</w:t>
            </w:r>
            <w:r w:rsidRPr="00F26E1F">
              <w:rPr>
                <w:rFonts w:eastAsia="PMingLiU"/>
                <w:sz w:val="20"/>
                <w:szCs w:val="20"/>
              </w:rPr>
              <w:t xml:space="preserve"> places that tripped up a reader</w:t>
            </w:r>
          </w:p>
        </w:tc>
        <w:tc>
          <w:tcPr>
            <w:tcW w:w="1771" w:type="dxa"/>
            <w:shd w:val="clear" w:color="auto" w:fill="auto"/>
          </w:tcPr>
          <w:p w14:paraId="521107F0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A modest number of errors in organization, grammar, spelling or flow</w:t>
            </w:r>
          </w:p>
        </w:tc>
        <w:tc>
          <w:tcPr>
            <w:tcW w:w="1772" w:type="dxa"/>
            <w:shd w:val="clear" w:color="auto" w:fill="auto"/>
          </w:tcPr>
          <w:p w14:paraId="726A5954" w14:textId="77777777" w:rsidR="003A256E" w:rsidRPr="00F26E1F" w:rsidRDefault="003A256E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Needs substantial attention to organization, grammar, spelling and flow</w:t>
            </w:r>
          </w:p>
        </w:tc>
      </w:tr>
      <w:tr w:rsidR="00F26E1F" w:rsidRPr="00F26E1F" w14:paraId="2CB38A58" w14:textId="77777777" w:rsidTr="00F26E1F">
        <w:tc>
          <w:tcPr>
            <w:tcW w:w="2088" w:type="dxa"/>
            <w:shd w:val="clear" w:color="auto" w:fill="auto"/>
          </w:tcPr>
          <w:p w14:paraId="7B9A1574" w14:textId="77777777" w:rsidR="009A7F7C" w:rsidRPr="00F26E1F" w:rsidRDefault="009A7F7C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Overall</w:t>
            </w:r>
          </w:p>
        </w:tc>
        <w:tc>
          <w:tcPr>
            <w:tcW w:w="1620" w:type="dxa"/>
            <w:shd w:val="clear" w:color="auto" w:fill="auto"/>
          </w:tcPr>
          <w:p w14:paraId="6135F840" w14:textId="77777777" w:rsidR="009A7F7C" w:rsidRPr="00F26E1F" w:rsidRDefault="009A7F7C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Consistently high quality or exemplary attention to rubric categories</w:t>
            </w:r>
          </w:p>
        </w:tc>
        <w:tc>
          <w:tcPr>
            <w:tcW w:w="1605" w:type="dxa"/>
            <w:shd w:val="clear" w:color="auto" w:fill="auto"/>
          </w:tcPr>
          <w:p w14:paraId="6E81ABDA" w14:textId="77777777" w:rsidR="009A7F7C" w:rsidRPr="00F26E1F" w:rsidRDefault="00C35621" w:rsidP="009A7F7C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Accomplishes assignment with at least adequate attention to each rubric category</w:t>
            </w:r>
          </w:p>
        </w:tc>
        <w:tc>
          <w:tcPr>
            <w:tcW w:w="1771" w:type="dxa"/>
            <w:shd w:val="clear" w:color="auto" w:fill="auto"/>
          </w:tcPr>
          <w:p w14:paraId="7FAACD04" w14:textId="77777777" w:rsidR="009A7F7C" w:rsidRPr="00F26E1F" w:rsidRDefault="00C35621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High quality elements balance areas needing improvement</w:t>
            </w:r>
          </w:p>
        </w:tc>
        <w:tc>
          <w:tcPr>
            <w:tcW w:w="1772" w:type="dxa"/>
            <w:shd w:val="clear" w:color="auto" w:fill="auto"/>
          </w:tcPr>
          <w:p w14:paraId="56881859" w14:textId="77777777" w:rsidR="00C35621" w:rsidRPr="00F26E1F" w:rsidRDefault="00C35621" w:rsidP="00F34CC9">
            <w:pPr>
              <w:rPr>
                <w:rFonts w:eastAsia="PMingLiU"/>
                <w:sz w:val="20"/>
                <w:szCs w:val="20"/>
              </w:rPr>
            </w:pPr>
            <w:r w:rsidRPr="00F26E1F">
              <w:rPr>
                <w:rFonts w:eastAsia="PMingLiU"/>
                <w:sz w:val="20"/>
                <w:szCs w:val="20"/>
              </w:rPr>
              <w:t>Two or more significant flawed elements</w:t>
            </w:r>
          </w:p>
          <w:p w14:paraId="3E1AFEF3" w14:textId="77777777" w:rsidR="009A7F7C" w:rsidRPr="00F26E1F" w:rsidRDefault="009A7F7C" w:rsidP="00C35621">
            <w:pPr>
              <w:rPr>
                <w:rFonts w:eastAsia="PMingLiU"/>
                <w:sz w:val="20"/>
                <w:szCs w:val="20"/>
              </w:rPr>
            </w:pPr>
          </w:p>
        </w:tc>
      </w:tr>
    </w:tbl>
    <w:p w14:paraId="7ECF122E" w14:textId="77777777" w:rsidR="003A256E" w:rsidRDefault="003A256E" w:rsidP="00114291">
      <w:pPr>
        <w:pStyle w:val="NormalWeb"/>
      </w:pPr>
    </w:p>
    <w:sectPr w:rsidR="003A256E" w:rsidSect="00114291">
      <w:headerReference w:type="default" r:id="rId8"/>
      <w:endnotePr>
        <w:numFmt w:val="decimal"/>
      </w:endnotePr>
      <w:pgSz w:w="12240" w:h="15840"/>
      <w:pgMar w:top="720" w:right="1440" w:bottom="864" w:left="1440" w:header="720" w:footer="10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825A5" w14:textId="77777777" w:rsidR="00F34CC9" w:rsidRDefault="00F34CC9" w:rsidP="00094481">
      <w:r>
        <w:separator/>
      </w:r>
    </w:p>
  </w:endnote>
  <w:endnote w:type="continuationSeparator" w:id="0">
    <w:p w14:paraId="7702A2AF" w14:textId="77777777" w:rsidR="00F34CC9" w:rsidRDefault="00F34CC9" w:rsidP="0009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96219" w14:textId="77777777" w:rsidR="00F34CC9" w:rsidRDefault="00F34CC9" w:rsidP="00094481">
      <w:r>
        <w:separator/>
      </w:r>
    </w:p>
  </w:footnote>
  <w:footnote w:type="continuationSeparator" w:id="0">
    <w:p w14:paraId="121CA94D" w14:textId="77777777" w:rsidR="00F34CC9" w:rsidRDefault="00F34CC9" w:rsidP="000944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B763D" w14:textId="77777777" w:rsidR="00F34CC9" w:rsidRDefault="00F34CC9">
    <w:pPr>
      <w:tabs>
        <w:tab w:val="right" w:pos="9360"/>
      </w:tabs>
      <w:jc w:val="both"/>
    </w:pPr>
    <w:r>
      <w:t xml:space="preserve">Bryn </w:t>
    </w:r>
    <w:proofErr w:type="spellStart"/>
    <w:r>
      <w:t>Mawr</w:t>
    </w:r>
    <w:proofErr w:type="spellEnd"/>
    <w:r>
      <w:t xml:space="preserve"> College</w:t>
    </w:r>
    <w:r>
      <w:tab/>
      <w:t>David R. Ross</w:t>
    </w:r>
  </w:p>
  <w:p w14:paraId="2383B783" w14:textId="77777777" w:rsidR="00F34CC9" w:rsidRDefault="00F34CC9" w:rsidP="00173D7A">
    <w:pPr>
      <w:tabs>
        <w:tab w:val="right" w:pos="9360"/>
      </w:tabs>
      <w:jc w:val="both"/>
    </w:pPr>
    <w:r>
      <w:t>Economics 136</w:t>
    </w:r>
    <w:r>
      <w:tab/>
      <w:t>Spring 2014</w:t>
    </w:r>
  </w:p>
  <w:p w14:paraId="0F23DCA8" w14:textId="77777777" w:rsidR="00F34CC9" w:rsidRDefault="00F34CC9">
    <w:pPr>
      <w:spacing w:line="240" w:lineRule="exac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822C4"/>
    <w:multiLevelType w:val="hybridMultilevel"/>
    <w:tmpl w:val="BE1852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CC"/>
    <w:rsid w:val="000408D8"/>
    <w:rsid w:val="000804E0"/>
    <w:rsid w:val="00094481"/>
    <w:rsid w:val="000E04B9"/>
    <w:rsid w:val="001057A9"/>
    <w:rsid w:val="00114291"/>
    <w:rsid w:val="00173D7A"/>
    <w:rsid w:val="001D1C45"/>
    <w:rsid w:val="00234DFA"/>
    <w:rsid w:val="00235257"/>
    <w:rsid w:val="00276E98"/>
    <w:rsid w:val="002B1AA4"/>
    <w:rsid w:val="0030534F"/>
    <w:rsid w:val="00351F53"/>
    <w:rsid w:val="00371737"/>
    <w:rsid w:val="00387310"/>
    <w:rsid w:val="003A256E"/>
    <w:rsid w:val="003B286D"/>
    <w:rsid w:val="003E1538"/>
    <w:rsid w:val="003E383E"/>
    <w:rsid w:val="00470A29"/>
    <w:rsid w:val="0047295E"/>
    <w:rsid w:val="00500D54"/>
    <w:rsid w:val="00570445"/>
    <w:rsid w:val="005B0605"/>
    <w:rsid w:val="005B12D3"/>
    <w:rsid w:val="00645929"/>
    <w:rsid w:val="00652372"/>
    <w:rsid w:val="006569FF"/>
    <w:rsid w:val="00673B08"/>
    <w:rsid w:val="00693514"/>
    <w:rsid w:val="006C088B"/>
    <w:rsid w:val="0071287C"/>
    <w:rsid w:val="007204FC"/>
    <w:rsid w:val="007733DD"/>
    <w:rsid w:val="007A3B0C"/>
    <w:rsid w:val="007E1658"/>
    <w:rsid w:val="007E2FAD"/>
    <w:rsid w:val="00854270"/>
    <w:rsid w:val="008B25CC"/>
    <w:rsid w:val="008E0744"/>
    <w:rsid w:val="009906C5"/>
    <w:rsid w:val="009A7F7C"/>
    <w:rsid w:val="00AB0505"/>
    <w:rsid w:val="00B214C1"/>
    <w:rsid w:val="00B21EAE"/>
    <w:rsid w:val="00BD5464"/>
    <w:rsid w:val="00C1471B"/>
    <w:rsid w:val="00C22831"/>
    <w:rsid w:val="00C337B1"/>
    <w:rsid w:val="00C35621"/>
    <w:rsid w:val="00C43D5F"/>
    <w:rsid w:val="00C83D0C"/>
    <w:rsid w:val="00CE5098"/>
    <w:rsid w:val="00D34212"/>
    <w:rsid w:val="00D7511F"/>
    <w:rsid w:val="00DF2E74"/>
    <w:rsid w:val="00E326F9"/>
    <w:rsid w:val="00E82C1B"/>
    <w:rsid w:val="00E91947"/>
    <w:rsid w:val="00EA0B7D"/>
    <w:rsid w:val="00F26E1F"/>
    <w:rsid w:val="00F34CC9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783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04B9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73D7A"/>
    <w:pPr>
      <w:widowControl/>
      <w:spacing w:before="100" w:beforeAutospacing="1" w:after="100" w:afterAutospacing="1"/>
    </w:pPr>
    <w:rPr>
      <w:rFonts w:ascii="Times New Roman" w:eastAsia="PMingLiU" w:hAnsi="Times New Roman"/>
      <w:snapToGrid/>
      <w:color w:val="000000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04B9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73D7A"/>
    <w:pPr>
      <w:widowControl/>
      <w:spacing w:before="100" w:beforeAutospacing="1" w:after="100" w:afterAutospacing="1"/>
    </w:pPr>
    <w:rPr>
      <w:rFonts w:ascii="Times New Roman" w:eastAsia="PMingLiU" w:hAnsi="Times New Roman"/>
      <w:snapToGrid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Economist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R. Ross</dc:creator>
  <cp:lastModifiedBy>David Ross</cp:lastModifiedBy>
  <cp:revision>4</cp:revision>
  <cp:lastPrinted>2004-02-24T18:00:00Z</cp:lastPrinted>
  <dcterms:created xsi:type="dcterms:W3CDTF">2014-04-30T07:38:00Z</dcterms:created>
  <dcterms:modified xsi:type="dcterms:W3CDTF">2014-04-30T10:40:00Z</dcterms:modified>
</cp:coreProperties>
</file>