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C614E" w14:textId="41010D1D" w:rsidR="004036D8" w:rsidRPr="007378F1" w:rsidRDefault="005F2733" w:rsidP="008C73A8">
      <w:pPr>
        <w:pStyle w:val="Title"/>
        <w:rPr>
          <w:rFonts w:ascii="Times New Roman" w:hAnsi="Times New Roman" w:cs="Arial"/>
          <w:sz w:val="24"/>
        </w:rPr>
      </w:pPr>
      <w:r w:rsidRPr="007378F1">
        <w:rPr>
          <w:rFonts w:ascii="Times New Roman" w:hAnsi="Times New Roman" w:cs="Arial"/>
          <w:sz w:val="24"/>
        </w:rPr>
        <w:t>Teacher Notes for</w:t>
      </w:r>
      <w:r w:rsidR="0034014A">
        <w:rPr>
          <w:rFonts w:ascii="Times New Roman" w:hAnsi="Times New Roman" w:cs="Arial"/>
          <w:sz w:val="24"/>
        </w:rPr>
        <w:t xml:space="preserve"> “</w:t>
      </w:r>
      <w:r w:rsidR="007378F1">
        <w:rPr>
          <w:rFonts w:ascii="Times New Roman" w:hAnsi="Times New Roman" w:cs="Arial"/>
          <w:sz w:val="24"/>
        </w:rPr>
        <w:t>Learning about Genetic Disorders</w:t>
      </w:r>
      <w:r w:rsidR="0034014A">
        <w:rPr>
          <w:rFonts w:ascii="Times New Roman" w:hAnsi="Times New Roman" w:cs="Arial"/>
          <w:sz w:val="24"/>
        </w:rPr>
        <w:t>”</w:t>
      </w:r>
      <w:r w:rsidR="00F06F75" w:rsidRPr="0017462F">
        <w:rPr>
          <w:rStyle w:val="FootnoteReference"/>
          <w:rFonts w:ascii="Times New Roman" w:hAnsi="Times New Roman"/>
          <w:sz w:val="24"/>
          <w:szCs w:val="24"/>
        </w:rPr>
        <w:footnoteReference w:id="1"/>
      </w:r>
    </w:p>
    <w:p w14:paraId="64C2CF14" w14:textId="77777777" w:rsidR="005247A0" w:rsidRDefault="005247A0">
      <w:pPr>
        <w:rPr>
          <w:rFonts w:cs="Arial"/>
          <w:sz w:val="24"/>
        </w:rPr>
      </w:pPr>
    </w:p>
    <w:p w14:paraId="0946C0A1" w14:textId="77777777" w:rsidR="005247A0" w:rsidRPr="005247A0" w:rsidRDefault="005247A0">
      <w:pPr>
        <w:rPr>
          <w:color w:val="000000"/>
          <w:sz w:val="24"/>
          <w:shd w:val="clear" w:color="auto" w:fill="FFFFFF"/>
        </w:rPr>
      </w:pPr>
      <w:r w:rsidRPr="005247A0">
        <w:rPr>
          <w:color w:val="000000"/>
          <w:sz w:val="24"/>
          <w:shd w:val="clear" w:color="auto" w:fill="FFFFFF"/>
        </w:rPr>
        <w:t>This activity provides brief instructions and recommended reliable sources for students to investigate and report on a genetic disorder of their choice. </w:t>
      </w:r>
    </w:p>
    <w:p w14:paraId="412DE526" w14:textId="621636F2" w:rsidR="006957E8" w:rsidRPr="007378F1" w:rsidRDefault="006957E8">
      <w:pPr>
        <w:rPr>
          <w:rFonts w:cs="Arial"/>
          <w:sz w:val="24"/>
        </w:rPr>
      </w:pPr>
    </w:p>
    <w:p w14:paraId="3C795F2C" w14:textId="77777777" w:rsidR="00E0013A" w:rsidRPr="005247A0" w:rsidRDefault="00E0013A" w:rsidP="00E0013A">
      <w:pPr>
        <w:widowControl w:val="0"/>
        <w:autoSpaceDE w:val="0"/>
        <w:autoSpaceDN w:val="0"/>
        <w:adjustRightInd w:val="0"/>
        <w:rPr>
          <w:rFonts w:cs="Calibri"/>
          <w:b/>
          <w:sz w:val="24"/>
        </w:rPr>
      </w:pPr>
      <w:r w:rsidRPr="005247A0">
        <w:rPr>
          <w:rFonts w:cs="Calibri"/>
          <w:b/>
          <w:sz w:val="24"/>
        </w:rPr>
        <w:t>Learning Goals</w:t>
      </w:r>
    </w:p>
    <w:p w14:paraId="1744EC5C" w14:textId="77777777" w:rsidR="00E0013A" w:rsidRPr="005247A0" w:rsidRDefault="00E0013A" w:rsidP="00E0013A">
      <w:pPr>
        <w:rPr>
          <w:sz w:val="24"/>
        </w:rPr>
      </w:pPr>
      <w:r w:rsidRPr="005247A0">
        <w:rPr>
          <w:sz w:val="24"/>
        </w:rPr>
        <w:t xml:space="preserve">In accord with the </w:t>
      </w:r>
      <w:r w:rsidRPr="005247A0">
        <w:rPr>
          <w:sz w:val="24"/>
          <w:u w:val="single"/>
        </w:rPr>
        <w:t>Next Generation Science Standards</w:t>
      </w:r>
      <w:r w:rsidRPr="005247A0">
        <w:rPr>
          <w:rStyle w:val="FootnoteReference"/>
          <w:sz w:val="24"/>
        </w:rPr>
        <w:footnoteReference w:id="2"/>
      </w:r>
      <w:r w:rsidRPr="005247A0">
        <w:rPr>
          <w:sz w:val="24"/>
        </w:rPr>
        <w:t>:</w:t>
      </w:r>
    </w:p>
    <w:p w14:paraId="3BCFDCA6" w14:textId="77777777" w:rsidR="00E851F6" w:rsidRPr="005247A0" w:rsidRDefault="00E851F6" w:rsidP="00E851F6">
      <w:pPr>
        <w:numPr>
          <w:ilvl w:val="0"/>
          <w:numId w:val="3"/>
        </w:numPr>
        <w:ind w:left="360"/>
        <w:rPr>
          <w:rFonts w:cs="Calibri"/>
          <w:sz w:val="24"/>
        </w:rPr>
      </w:pPr>
      <w:r w:rsidRPr="005247A0">
        <w:rPr>
          <w:sz w:val="24"/>
        </w:rPr>
        <w:t xml:space="preserve">This activity helps to prepare students for the following </w:t>
      </w:r>
      <w:r w:rsidRPr="005247A0">
        <w:rPr>
          <w:sz w:val="24"/>
          <w:u w:val="single"/>
        </w:rPr>
        <w:t>Performance Expectation</w:t>
      </w:r>
      <w:r w:rsidRPr="005247A0">
        <w:rPr>
          <w:rFonts w:cs="Calibri"/>
          <w:sz w:val="24"/>
        </w:rPr>
        <w:t>:</w:t>
      </w:r>
    </w:p>
    <w:p w14:paraId="1F10CFE6" w14:textId="182276D7" w:rsidR="00E0013A" w:rsidRPr="005247A0" w:rsidRDefault="00E851F6" w:rsidP="00E851F6">
      <w:pPr>
        <w:numPr>
          <w:ilvl w:val="0"/>
          <w:numId w:val="3"/>
        </w:numPr>
        <w:rPr>
          <w:sz w:val="24"/>
        </w:rPr>
      </w:pPr>
      <w:r w:rsidRPr="005247A0">
        <w:rPr>
          <w:rFonts w:cs="Calibri"/>
          <w:sz w:val="24"/>
        </w:rPr>
        <w:t>HS-LS</w:t>
      </w:r>
      <w:r>
        <w:rPr>
          <w:rFonts w:cs="Calibri"/>
          <w:sz w:val="24"/>
        </w:rPr>
        <w:t>3-1</w:t>
      </w:r>
      <w:r w:rsidRPr="005247A0">
        <w:rPr>
          <w:rFonts w:cs="Calibri"/>
          <w:sz w:val="24"/>
        </w:rPr>
        <w:t>. “</w:t>
      </w:r>
      <w:r>
        <w:rPr>
          <w:rFonts w:cs="Calibri"/>
          <w:sz w:val="24"/>
        </w:rPr>
        <w:t>Ask questions to clarify relationships about the role of DNA and chromosomes encoding the instructions for characteristic traits passed from parents to offspring</w:t>
      </w:r>
      <w:r w:rsidRPr="005247A0">
        <w:rPr>
          <w:rFonts w:cs="Calibri"/>
          <w:sz w:val="24"/>
        </w:rPr>
        <w:t>.</w:t>
      </w:r>
      <w:r w:rsidR="00E0013A" w:rsidRPr="005247A0">
        <w:rPr>
          <w:rFonts w:cs="Calibri"/>
          <w:sz w:val="24"/>
        </w:rPr>
        <w:t>”</w:t>
      </w:r>
    </w:p>
    <w:p w14:paraId="630474CF" w14:textId="43C647C4" w:rsidR="00E0013A" w:rsidRPr="005247A0" w:rsidRDefault="00E0013A" w:rsidP="00E0013A">
      <w:pPr>
        <w:numPr>
          <w:ilvl w:val="0"/>
          <w:numId w:val="3"/>
        </w:numPr>
        <w:ind w:left="360"/>
        <w:rPr>
          <w:sz w:val="24"/>
        </w:rPr>
      </w:pPr>
      <w:r w:rsidRPr="005247A0">
        <w:rPr>
          <w:sz w:val="24"/>
        </w:rPr>
        <w:t xml:space="preserve">Students will engage in the </w:t>
      </w:r>
      <w:r w:rsidRPr="005247A0">
        <w:rPr>
          <w:sz w:val="24"/>
          <w:u w:val="single"/>
        </w:rPr>
        <w:t>Scientific Practice</w:t>
      </w:r>
      <w:r w:rsidRPr="005247A0">
        <w:rPr>
          <w:sz w:val="24"/>
        </w:rPr>
        <w:t>:</w:t>
      </w:r>
    </w:p>
    <w:p w14:paraId="54DE3E46" w14:textId="10F96516" w:rsidR="005247A0" w:rsidRDefault="00E0013A" w:rsidP="00E851F6">
      <w:pPr>
        <w:numPr>
          <w:ilvl w:val="0"/>
          <w:numId w:val="3"/>
        </w:numPr>
        <w:rPr>
          <w:rFonts w:cs="Arial"/>
          <w:sz w:val="24"/>
          <w:szCs w:val="24"/>
        </w:rPr>
      </w:pPr>
      <w:r w:rsidRPr="005247A0">
        <w:rPr>
          <w:sz w:val="24"/>
        </w:rPr>
        <w:t>Obtaining, Evaluating and Communicating Information. “</w:t>
      </w:r>
      <w:r w:rsidR="008B2436">
        <w:rPr>
          <w:sz w:val="24"/>
        </w:rPr>
        <w:t>Gather, read and evaluate scientific and/or technical information from multiple authoritative sources, assessing the evidence</w:t>
      </w:r>
      <w:r w:rsidR="00F16647">
        <w:rPr>
          <w:sz w:val="24"/>
        </w:rPr>
        <w:t xml:space="preserve"> and usefulness of each source</w:t>
      </w:r>
      <w:r w:rsidRPr="005247A0">
        <w:rPr>
          <w:sz w:val="24"/>
        </w:rPr>
        <w:t>.”</w:t>
      </w:r>
      <w:r w:rsidR="00E851F6">
        <w:rPr>
          <w:rFonts w:cs="Arial"/>
          <w:sz w:val="24"/>
          <w:szCs w:val="24"/>
        </w:rPr>
        <w:t xml:space="preserve"> </w:t>
      </w:r>
    </w:p>
    <w:p w14:paraId="3AFB28AE" w14:textId="77777777" w:rsidR="00E851F6" w:rsidRDefault="00E851F6">
      <w:pPr>
        <w:rPr>
          <w:rFonts w:cs="Arial"/>
          <w:sz w:val="24"/>
          <w:szCs w:val="24"/>
        </w:rPr>
      </w:pPr>
    </w:p>
    <w:p w14:paraId="4BB946BF" w14:textId="77777777" w:rsidR="00E851F6" w:rsidRDefault="00E851F6">
      <w:pPr>
        <w:rPr>
          <w:rFonts w:cs="Arial"/>
          <w:b/>
          <w:sz w:val="24"/>
          <w:szCs w:val="24"/>
        </w:rPr>
      </w:pPr>
      <w:r>
        <w:rPr>
          <w:rFonts w:cs="Arial"/>
          <w:b/>
          <w:sz w:val="24"/>
          <w:szCs w:val="24"/>
        </w:rPr>
        <w:t>Instructional Suggestions</w:t>
      </w:r>
    </w:p>
    <w:p w14:paraId="652A251D" w14:textId="7F1E6297" w:rsidR="005247A0" w:rsidRPr="005247A0" w:rsidRDefault="007378F1">
      <w:pPr>
        <w:rPr>
          <w:rFonts w:cs="Arial"/>
          <w:sz w:val="32"/>
          <w:szCs w:val="24"/>
        </w:rPr>
      </w:pPr>
      <w:r>
        <w:rPr>
          <w:rFonts w:cs="Arial"/>
          <w:sz w:val="24"/>
          <w:szCs w:val="24"/>
        </w:rPr>
        <w:t>As indicated in the Student Handout</w:t>
      </w:r>
      <w:r w:rsidR="0053133C" w:rsidRPr="007378F1">
        <w:rPr>
          <w:rFonts w:cs="Arial"/>
          <w:sz w:val="24"/>
          <w:szCs w:val="24"/>
        </w:rPr>
        <w:t>,</w:t>
      </w:r>
      <w:r>
        <w:rPr>
          <w:rFonts w:cs="Arial"/>
          <w:sz w:val="24"/>
          <w:szCs w:val="24"/>
        </w:rPr>
        <w:t xml:space="preserve"> we have left it to individual teachers to decide</w:t>
      </w:r>
      <w:r w:rsidR="008C0257">
        <w:rPr>
          <w:rFonts w:cs="Arial"/>
          <w:sz w:val="24"/>
          <w:szCs w:val="24"/>
        </w:rPr>
        <w:t>:</w:t>
      </w:r>
    </w:p>
    <w:p w14:paraId="1CDEB80F" w14:textId="77777777" w:rsidR="005247A0" w:rsidRPr="005247A0" w:rsidRDefault="005247A0" w:rsidP="005247A0">
      <w:pPr>
        <w:numPr>
          <w:ilvl w:val="0"/>
          <w:numId w:val="1"/>
        </w:numPr>
        <w:rPr>
          <w:rFonts w:cs="Arial"/>
          <w:sz w:val="24"/>
        </w:rPr>
      </w:pPr>
      <w:r w:rsidRPr="005247A0">
        <w:rPr>
          <w:rFonts w:cs="Arial"/>
          <w:sz w:val="24"/>
        </w:rPr>
        <w:t xml:space="preserve">whether students will work on their own or in pairs or small groups; </w:t>
      </w:r>
    </w:p>
    <w:p w14:paraId="2747C7DB" w14:textId="77777777" w:rsidR="005247A0" w:rsidRPr="005247A0" w:rsidRDefault="005247A0" w:rsidP="005247A0">
      <w:pPr>
        <w:numPr>
          <w:ilvl w:val="0"/>
          <w:numId w:val="1"/>
        </w:numPr>
        <w:rPr>
          <w:rFonts w:cs="Arial"/>
          <w:sz w:val="24"/>
        </w:rPr>
      </w:pPr>
      <w:r w:rsidRPr="005247A0">
        <w:rPr>
          <w:rFonts w:cs="Arial"/>
          <w:sz w:val="24"/>
        </w:rPr>
        <w:t xml:space="preserve">the format for student answers to the questions they have chosen; </w:t>
      </w:r>
    </w:p>
    <w:p w14:paraId="07CADD13" w14:textId="0DED8DC4" w:rsidR="005247A0" w:rsidRPr="005247A0" w:rsidRDefault="005247A0" w:rsidP="005247A0">
      <w:pPr>
        <w:numPr>
          <w:ilvl w:val="0"/>
          <w:numId w:val="1"/>
        </w:numPr>
        <w:rPr>
          <w:rFonts w:cs="Arial"/>
          <w:sz w:val="24"/>
        </w:rPr>
      </w:pPr>
      <w:r w:rsidRPr="005247A0">
        <w:rPr>
          <w:rFonts w:cs="Arial"/>
          <w:sz w:val="24"/>
        </w:rPr>
        <w:t xml:space="preserve">whether and how students will share their answers. </w:t>
      </w:r>
    </w:p>
    <w:p w14:paraId="0C8FE471" w14:textId="7471A7B9" w:rsidR="005247A0" w:rsidRPr="005247A0" w:rsidRDefault="005247A0" w:rsidP="005247A0">
      <w:pPr>
        <w:rPr>
          <w:rFonts w:cs="Arial"/>
          <w:sz w:val="24"/>
        </w:rPr>
      </w:pPr>
      <w:r w:rsidRPr="005247A0">
        <w:rPr>
          <w:rFonts w:cs="Arial"/>
          <w:sz w:val="24"/>
        </w:rPr>
        <w:t xml:space="preserve">One suggested approach would be to have students work </w:t>
      </w:r>
      <w:r w:rsidR="00633119">
        <w:rPr>
          <w:rFonts w:cs="Arial"/>
          <w:sz w:val="24"/>
        </w:rPr>
        <w:t xml:space="preserve">individually, </w:t>
      </w:r>
      <w:r w:rsidRPr="005247A0">
        <w:rPr>
          <w:rFonts w:cs="Arial"/>
          <w:sz w:val="24"/>
        </w:rPr>
        <w:t>in pairs or small groups to find</w:t>
      </w:r>
      <w:r w:rsidR="00633119">
        <w:rPr>
          <w:rFonts w:cs="Arial"/>
          <w:sz w:val="24"/>
        </w:rPr>
        <w:t xml:space="preserve"> information on their topic</w:t>
      </w:r>
      <w:r w:rsidRPr="005247A0">
        <w:rPr>
          <w:rFonts w:cs="Arial"/>
          <w:sz w:val="24"/>
        </w:rPr>
        <w:t>.</w:t>
      </w:r>
      <w:r w:rsidR="00633119">
        <w:rPr>
          <w:rFonts w:cs="Arial"/>
          <w:sz w:val="24"/>
        </w:rPr>
        <w:t xml:space="preserve"> Then</w:t>
      </w:r>
      <w:r w:rsidRPr="005247A0">
        <w:rPr>
          <w:rFonts w:cs="Arial"/>
          <w:sz w:val="24"/>
        </w:rPr>
        <w:t>, your students</w:t>
      </w:r>
      <w:r w:rsidR="000F568E">
        <w:rPr>
          <w:rFonts w:cs="Arial"/>
          <w:sz w:val="24"/>
        </w:rPr>
        <w:t xml:space="preserve"> would </w:t>
      </w:r>
      <w:r w:rsidRPr="005247A0">
        <w:rPr>
          <w:rFonts w:cs="Arial"/>
          <w:sz w:val="24"/>
        </w:rPr>
        <w:t>prepare to share their findings, using a whiteboard,</w:t>
      </w:r>
      <w:r w:rsidRPr="005247A0">
        <w:rPr>
          <w:rStyle w:val="FootnoteReference"/>
          <w:rFonts w:cs="Arial"/>
          <w:sz w:val="24"/>
        </w:rPr>
        <w:footnoteReference w:id="3"/>
      </w:r>
      <w:r w:rsidRPr="005247A0">
        <w:rPr>
          <w:rFonts w:cs="Arial"/>
          <w:sz w:val="24"/>
        </w:rPr>
        <w:t xml:space="preserve"> poster or PowerPoint. After students share their findings, they can provide feedback to each other, perhaps by a whole-class discussion or a gallery walk (</w:t>
      </w:r>
      <w:hyperlink r:id="rId8" w:history="1">
        <w:r w:rsidRPr="005247A0">
          <w:rPr>
            <w:rStyle w:val="Hyperlink"/>
            <w:rFonts w:cs="Arial"/>
            <w:sz w:val="24"/>
          </w:rPr>
          <w:t>https://www.edutopia.org/blog/enliven-class-discussion-with-gallery-walks-rebecca-alber</w:t>
        </w:r>
      </w:hyperlink>
      <w:r w:rsidRPr="005247A0">
        <w:rPr>
          <w:rFonts w:cs="Arial"/>
          <w:sz w:val="24"/>
        </w:rPr>
        <w:t>).</w:t>
      </w:r>
    </w:p>
    <w:p w14:paraId="18BCA74B" w14:textId="749DCF64" w:rsidR="008C0257" w:rsidRDefault="008C0257">
      <w:pPr>
        <w:rPr>
          <w:rFonts w:cs="Arial"/>
          <w:sz w:val="24"/>
          <w:szCs w:val="24"/>
        </w:rPr>
      </w:pPr>
    </w:p>
    <w:p w14:paraId="3C11B584" w14:textId="77777777" w:rsidR="00771689" w:rsidRPr="00771689" w:rsidRDefault="00771689" w:rsidP="00771689">
      <w:pPr>
        <w:rPr>
          <w:rFonts w:cs="Arial"/>
          <w:sz w:val="24"/>
          <w:szCs w:val="24"/>
        </w:rPr>
      </w:pPr>
      <w:bookmarkStart w:id="2" w:name="_Hlk167178347"/>
      <w:r w:rsidRPr="00771689">
        <w:rPr>
          <w:sz w:val="24"/>
          <w:szCs w:val="24"/>
        </w:rPr>
        <w:lastRenderedPageBreak/>
        <w:t xml:space="preserve">One </w:t>
      </w:r>
      <w:r w:rsidRPr="00771689">
        <w:rPr>
          <w:rFonts w:cs="Arial"/>
          <w:sz w:val="24"/>
          <w:szCs w:val="24"/>
          <w:u w:val="single"/>
        </w:rPr>
        <w:t>problem</w:t>
      </w:r>
      <w:r w:rsidRPr="00771689">
        <w:rPr>
          <w:rFonts w:cs="Arial"/>
          <w:sz w:val="24"/>
          <w:szCs w:val="24"/>
        </w:rPr>
        <w:t xml:space="preserve"> that I have encountered is that some students tend to </w:t>
      </w:r>
      <w:r w:rsidRPr="00771689">
        <w:rPr>
          <w:rFonts w:cs="Arial"/>
          <w:sz w:val="24"/>
          <w:szCs w:val="24"/>
          <w:u w:val="single"/>
        </w:rPr>
        <w:t>copy</w:t>
      </w:r>
      <w:r w:rsidRPr="00771689">
        <w:rPr>
          <w:rFonts w:cs="Arial"/>
          <w:sz w:val="24"/>
          <w:szCs w:val="24"/>
        </w:rPr>
        <w:t xml:space="preserve"> information from their sources </w:t>
      </w:r>
      <w:r w:rsidRPr="00771689">
        <w:rPr>
          <w:rFonts w:cs="Arial"/>
          <w:sz w:val="24"/>
          <w:szCs w:val="24"/>
          <w:u w:val="single"/>
        </w:rPr>
        <w:t>without understanding</w:t>
      </w:r>
      <w:r w:rsidRPr="00771689">
        <w:rPr>
          <w:rFonts w:cs="Arial"/>
          <w:sz w:val="24"/>
          <w:szCs w:val="24"/>
        </w:rPr>
        <w:t xml:space="preserve"> the material well enough to put it in their own words. To avoid this problem, you can encourage your students to follow these guidelines. </w:t>
      </w:r>
    </w:p>
    <w:p w14:paraId="0E6D583B" w14:textId="77777777" w:rsidR="00771689" w:rsidRPr="00771689" w:rsidRDefault="00771689" w:rsidP="00771689">
      <w:pPr>
        <w:ind w:left="720"/>
        <w:rPr>
          <w:rFonts w:cs="Arial"/>
          <w:sz w:val="24"/>
          <w:szCs w:val="24"/>
        </w:rPr>
      </w:pPr>
      <w:bookmarkStart w:id="3" w:name="_Hlk150771769"/>
      <w:r w:rsidRPr="00771689">
        <w:rPr>
          <w:rFonts w:cs="Arial"/>
          <w:sz w:val="24"/>
          <w:szCs w:val="24"/>
        </w:rPr>
        <w:t xml:space="preserve">1. </w:t>
      </w:r>
      <w:r w:rsidRPr="00771689">
        <w:rPr>
          <w:sz w:val="24"/>
          <w:szCs w:val="24"/>
        </w:rPr>
        <w:t xml:space="preserve">Use online dictionaries to find the meaning of any unfamiliar technical terms. </w:t>
      </w:r>
      <w:r w:rsidRPr="00771689">
        <w:rPr>
          <w:rFonts w:cs="Arial"/>
          <w:sz w:val="24"/>
          <w:szCs w:val="24"/>
        </w:rPr>
        <w:t>Reread the original passage until you understand its full meaning.</w:t>
      </w:r>
    </w:p>
    <w:p w14:paraId="13DE89A8" w14:textId="77777777" w:rsidR="00771689" w:rsidRPr="00771689" w:rsidRDefault="00771689" w:rsidP="00771689">
      <w:pPr>
        <w:ind w:left="720"/>
        <w:rPr>
          <w:rFonts w:cs="Arial"/>
          <w:sz w:val="24"/>
          <w:szCs w:val="24"/>
        </w:rPr>
      </w:pPr>
      <w:r w:rsidRPr="00771689">
        <w:rPr>
          <w:rFonts w:cs="Arial"/>
          <w:sz w:val="24"/>
          <w:szCs w:val="24"/>
        </w:rPr>
        <w:t>2. Put the original where you can’t see it, and write the main points you remember in a document in a word processing program or on a note card.</w:t>
      </w:r>
    </w:p>
    <w:p w14:paraId="5B53AAAD" w14:textId="77777777" w:rsidR="00771689" w:rsidRPr="00771689" w:rsidRDefault="00771689" w:rsidP="00771689">
      <w:pPr>
        <w:ind w:left="720"/>
        <w:rPr>
          <w:rFonts w:cs="Arial"/>
          <w:sz w:val="24"/>
          <w:szCs w:val="24"/>
        </w:rPr>
      </w:pPr>
      <w:r w:rsidRPr="00771689">
        <w:rPr>
          <w:rFonts w:cs="Arial"/>
          <w:sz w:val="24"/>
          <w:szCs w:val="24"/>
        </w:rPr>
        <w:t>3. Check your version with the original to make sure that your version accurately expresses all the essential information in your own words.</w:t>
      </w:r>
    </w:p>
    <w:p w14:paraId="33C794FA" w14:textId="77777777" w:rsidR="00771689" w:rsidRPr="00771689" w:rsidRDefault="00771689" w:rsidP="00771689">
      <w:pPr>
        <w:ind w:left="720"/>
        <w:rPr>
          <w:rFonts w:cs="Arial"/>
          <w:sz w:val="24"/>
          <w:szCs w:val="24"/>
        </w:rPr>
      </w:pPr>
      <w:r w:rsidRPr="00771689">
        <w:rPr>
          <w:rFonts w:cs="Arial"/>
          <w:sz w:val="24"/>
          <w:szCs w:val="24"/>
        </w:rPr>
        <w:t>4. Use quotation marks to identify any unique term or phraseology you have borrowed exactly from the source.</w:t>
      </w:r>
    </w:p>
    <w:bookmarkEnd w:id="3"/>
    <w:p w14:paraId="64002D56" w14:textId="5DD4A521" w:rsidR="00775FA7" w:rsidRPr="00771689" w:rsidRDefault="00771689" w:rsidP="00771689">
      <w:pPr>
        <w:ind w:left="720"/>
        <w:rPr>
          <w:sz w:val="24"/>
          <w:szCs w:val="24"/>
        </w:rPr>
      </w:pPr>
      <w:r w:rsidRPr="00771689">
        <w:rPr>
          <w:rFonts w:cs="Arial"/>
          <w:sz w:val="24"/>
          <w:szCs w:val="24"/>
        </w:rPr>
        <w:t>5. Record the source (including the page number) in your document or note card so that you can credit it easily if you decide to incorporate the material in your paper.</w:t>
      </w:r>
    </w:p>
    <w:p w14:paraId="75D81C4C" w14:textId="77777777" w:rsidR="00775FA7" w:rsidRPr="00775FA7" w:rsidRDefault="00775FA7" w:rsidP="00775FA7">
      <w:pPr>
        <w:rPr>
          <w:sz w:val="24"/>
          <w:szCs w:val="24"/>
        </w:rPr>
      </w:pPr>
    </w:p>
    <w:p w14:paraId="7EC28A90" w14:textId="22BF669F" w:rsidR="000A12F1" w:rsidRPr="00F223B0" w:rsidRDefault="00775FA7" w:rsidP="00775FA7">
      <w:pPr>
        <w:widowControl w:val="0"/>
        <w:autoSpaceDE w:val="0"/>
        <w:autoSpaceDN w:val="0"/>
        <w:adjustRightInd w:val="0"/>
        <w:rPr>
          <w:sz w:val="24"/>
          <w:szCs w:val="24"/>
        </w:rPr>
      </w:pPr>
      <w:r w:rsidRPr="00F223B0">
        <w:rPr>
          <w:sz w:val="24"/>
          <w:szCs w:val="24"/>
        </w:rPr>
        <w:t>The recommended sources are indeed reliable.</w:t>
      </w:r>
      <w:r w:rsidR="00633119">
        <w:rPr>
          <w:rStyle w:val="FootnoteReference"/>
          <w:sz w:val="24"/>
          <w:szCs w:val="24"/>
        </w:rPr>
        <w:footnoteReference w:id="4"/>
      </w:r>
      <w:r w:rsidRPr="00F223B0">
        <w:rPr>
          <w:sz w:val="24"/>
          <w:szCs w:val="24"/>
        </w:rPr>
        <w:t xml:space="preserve"> </w:t>
      </w:r>
      <w:r w:rsidR="00F223B0" w:rsidRPr="00F223B0">
        <w:rPr>
          <w:sz w:val="24"/>
          <w:szCs w:val="24"/>
        </w:rPr>
        <w:t>If your students use other sources, you can distribute the next page and ask them to follow</w:t>
      </w:r>
      <w:r w:rsidR="00633119">
        <w:rPr>
          <w:sz w:val="24"/>
          <w:szCs w:val="24"/>
        </w:rPr>
        <w:t xml:space="preserve"> the listed procedures to vet each source</w:t>
      </w:r>
      <w:r w:rsidR="00F223B0" w:rsidRPr="00F223B0">
        <w:rPr>
          <w:sz w:val="24"/>
          <w:szCs w:val="24"/>
        </w:rPr>
        <w:t xml:space="preserve">. </w:t>
      </w:r>
    </w:p>
    <w:p w14:paraId="4E7B51AC" w14:textId="77777777" w:rsidR="009F0613" w:rsidRDefault="009F0613">
      <w:pPr>
        <w:rPr>
          <w:sz w:val="24"/>
          <w:szCs w:val="24"/>
        </w:rPr>
      </w:pPr>
    </w:p>
    <w:p w14:paraId="084AB95E" w14:textId="6BF90501" w:rsidR="009F0613" w:rsidRDefault="009F0613">
      <w:pPr>
        <w:rPr>
          <w:sz w:val="24"/>
          <w:szCs w:val="24"/>
        </w:rPr>
      </w:pPr>
      <w:r>
        <w:rPr>
          <w:sz w:val="24"/>
          <w:szCs w:val="24"/>
        </w:rPr>
        <w:br w:type="page"/>
      </w:r>
    </w:p>
    <w:p w14:paraId="79B25911" w14:textId="77777777" w:rsidR="009F0613" w:rsidRPr="009F0613" w:rsidRDefault="009F0613" w:rsidP="009F0613">
      <w:pPr>
        <w:jc w:val="center"/>
        <w:rPr>
          <w:b/>
          <w:sz w:val="24"/>
        </w:rPr>
      </w:pPr>
      <w:bookmarkStart w:id="5" w:name="_Hlk165796719"/>
      <w:r w:rsidRPr="009F0613">
        <w:rPr>
          <w:b/>
          <w:sz w:val="24"/>
        </w:rPr>
        <w:lastRenderedPageBreak/>
        <w:t>Instructions for Evaluating Sources</w:t>
      </w:r>
    </w:p>
    <w:p w14:paraId="4A0FDD68" w14:textId="77777777" w:rsidR="009F0613" w:rsidRPr="009F0613" w:rsidRDefault="009F0613" w:rsidP="009F0613">
      <w:pPr>
        <w:jc w:val="center"/>
        <w:rPr>
          <w:rFonts w:ascii="Arial" w:hAnsi="Arial" w:cs="Arial"/>
          <w:color w:val="000000"/>
          <w:sz w:val="24"/>
        </w:rPr>
      </w:pPr>
      <w:r w:rsidRPr="009F0613">
        <w:rPr>
          <w:b/>
          <w:sz w:val="24"/>
        </w:rPr>
        <w:t>(if students use sources other than recommended sources)</w:t>
      </w:r>
      <w:r w:rsidRPr="009F0613">
        <w:rPr>
          <w:b/>
          <w:sz w:val="24"/>
        </w:rPr>
        <w:br/>
      </w:r>
    </w:p>
    <w:tbl>
      <w:tblPr>
        <w:tblStyle w:val="TableGrid"/>
        <w:tblW w:w="9648" w:type="dxa"/>
        <w:jc w:val="center"/>
        <w:tblLook w:val="04A0" w:firstRow="1" w:lastRow="0" w:firstColumn="1" w:lastColumn="0" w:noHBand="0" w:noVBand="1"/>
      </w:tblPr>
      <w:tblGrid>
        <w:gridCol w:w="6192"/>
        <w:gridCol w:w="3456"/>
      </w:tblGrid>
      <w:tr w:rsidR="009F0613" w:rsidRPr="009F0613" w14:paraId="2D43A388" w14:textId="77777777" w:rsidTr="00203AEF">
        <w:trPr>
          <w:jc w:val="center"/>
        </w:trPr>
        <w:tc>
          <w:tcPr>
            <w:tcW w:w="5774" w:type="dxa"/>
          </w:tcPr>
          <w:bookmarkEnd w:id="5"/>
          <w:p w14:paraId="5DADBEEA" w14:textId="77777777" w:rsidR="009F0613" w:rsidRPr="009F0613" w:rsidRDefault="009F0613" w:rsidP="00203AEF">
            <w:pPr>
              <w:jc w:val="center"/>
              <w:rPr>
                <w:rFonts w:cs="Arial"/>
                <w:noProof/>
                <w:sz w:val="24"/>
              </w:rPr>
            </w:pPr>
            <w:r w:rsidRPr="009F0613">
              <w:rPr>
                <w:rFonts w:cs="Arial"/>
                <w:noProof/>
                <w:sz w:val="24"/>
              </w:rPr>
              <w:t>Rubric for Evaluating Sources</w:t>
            </w:r>
            <w:r w:rsidRPr="009F0613">
              <w:rPr>
                <w:rStyle w:val="FootnoteReference"/>
                <w:rFonts w:cs="Arial"/>
                <w:noProof/>
                <w:sz w:val="24"/>
              </w:rPr>
              <w:footnoteReference w:id="5"/>
            </w:r>
          </w:p>
        </w:tc>
        <w:tc>
          <w:tcPr>
            <w:tcW w:w="3874" w:type="dxa"/>
          </w:tcPr>
          <w:p w14:paraId="6D81F291" w14:textId="77777777" w:rsidR="009F0613" w:rsidRPr="009F0613" w:rsidRDefault="009F0613" w:rsidP="00203AEF">
            <w:pPr>
              <w:jc w:val="center"/>
              <w:rPr>
                <w:rFonts w:cs="Arial"/>
                <w:sz w:val="24"/>
              </w:rPr>
            </w:pPr>
            <w:r w:rsidRPr="009F0613">
              <w:rPr>
                <w:rFonts w:cs="Arial"/>
                <w:sz w:val="24"/>
              </w:rPr>
              <w:t>Additional Points</w:t>
            </w:r>
          </w:p>
        </w:tc>
      </w:tr>
      <w:tr w:rsidR="009F0613" w:rsidRPr="009F0613" w14:paraId="7E4B1C6D" w14:textId="77777777" w:rsidTr="00203AEF">
        <w:trPr>
          <w:jc w:val="center"/>
        </w:trPr>
        <w:tc>
          <w:tcPr>
            <w:tcW w:w="5774" w:type="dxa"/>
          </w:tcPr>
          <w:p w14:paraId="16E55FD1" w14:textId="77777777" w:rsidR="009F0613" w:rsidRPr="009F0613" w:rsidRDefault="009F0613" w:rsidP="00203AEF">
            <w:pPr>
              <w:rPr>
                <w:rFonts w:cs="Arial"/>
                <w:sz w:val="24"/>
              </w:rPr>
            </w:pPr>
            <w:r w:rsidRPr="009F0613">
              <w:rPr>
                <w:rFonts w:cs="Arial"/>
                <w:noProof/>
                <w:sz w:val="24"/>
              </w:rPr>
              <w:drawing>
                <wp:inline distT="0" distB="0" distL="0" distR="0" wp14:anchorId="01022101" wp14:editId="49B8E526">
                  <wp:extent cx="3794760" cy="65013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9C2F4.tmp"/>
                          <pic:cNvPicPr/>
                        </pic:nvPicPr>
                        <pic:blipFill>
                          <a:blip r:embed="rId9">
                            <a:extLst>
                              <a:ext uri="{BEBA8EAE-BF5A-486C-A8C5-ECC9F3942E4B}">
                                <a14:imgProps xmlns:a14="http://schemas.microsoft.com/office/drawing/2010/main">
                                  <a14:imgLayer r:embed="rId10">
                                    <a14:imgEffect>
                                      <a14:sharpenSoften amount="25000"/>
                                    </a14:imgEffect>
                                  </a14:imgLayer>
                                </a14:imgProps>
                              </a:ext>
                            </a:extLst>
                          </a:blip>
                          <a:stretch>
                            <a:fillRect/>
                          </a:stretch>
                        </pic:blipFill>
                        <pic:spPr>
                          <a:xfrm>
                            <a:off x="0" y="0"/>
                            <a:ext cx="3794760" cy="6501384"/>
                          </a:xfrm>
                          <a:prstGeom prst="rect">
                            <a:avLst/>
                          </a:prstGeom>
                        </pic:spPr>
                      </pic:pic>
                    </a:graphicData>
                  </a:graphic>
                </wp:inline>
              </w:drawing>
            </w:r>
          </w:p>
          <w:p w14:paraId="78998C5F" w14:textId="77777777" w:rsidR="009F0613" w:rsidRPr="009F0613" w:rsidRDefault="009F0613" w:rsidP="00203AEF">
            <w:pPr>
              <w:rPr>
                <w:rFonts w:cs="Arial"/>
                <w:sz w:val="6"/>
                <w:szCs w:val="2"/>
              </w:rPr>
            </w:pPr>
          </w:p>
        </w:tc>
        <w:tc>
          <w:tcPr>
            <w:tcW w:w="3874" w:type="dxa"/>
          </w:tcPr>
          <w:p w14:paraId="35AB023D" w14:textId="77777777" w:rsidR="009F0613" w:rsidRPr="00A1564A" w:rsidRDefault="009F0613" w:rsidP="00203AEF">
            <w:pPr>
              <w:jc w:val="center"/>
              <w:rPr>
                <w:rFonts w:cs="Arial"/>
                <w:sz w:val="24"/>
                <w:szCs w:val="24"/>
              </w:rPr>
            </w:pPr>
          </w:p>
          <w:p w14:paraId="7C819D06" w14:textId="77777777" w:rsidR="009F0613" w:rsidRPr="00A1564A" w:rsidRDefault="009F0613" w:rsidP="00203AEF">
            <w:pPr>
              <w:rPr>
                <w:rFonts w:cs="Arial"/>
                <w:sz w:val="24"/>
                <w:szCs w:val="24"/>
              </w:rPr>
            </w:pPr>
            <w:r w:rsidRPr="00A1564A">
              <w:rPr>
                <w:rFonts w:cs="Arial"/>
                <w:sz w:val="24"/>
                <w:szCs w:val="24"/>
              </w:rPr>
              <w:t xml:space="preserve">To find out whether sources may have a conflict of interest, use Wikipedia or fact-checking sources such as Snopes. Do </w:t>
            </w:r>
            <w:r w:rsidRPr="00A1564A">
              <w:rPr>
                <w:rFonts w:cs="Arial"/>
                <w:i/>
                <w:sz w:val="24"/>
                <w:szCs w:val="24"/>
              </w:rPr>
              <w:t xml:space="preserve">not </w:t>
            </w:r>
            <w:r w:rsidRPr="00A1564A">
              <w:rPr>
                <w:rFonts w:cs="Arial"/>
                <w:sz w:val="24"/>
                <w:szCs w:val="24"/>
              </w:rPr>
              <w:t>use “.org” as a sign of reliability. Be cautious about any source that uses emotional language.</w:t>
            </w:r>
          </w:p>
          <w:p w14:paraId="1371D83B" w14:textId="77777777" w:rsidR="009F0613" w:rsidRPr="00A1564A" w:rsidRDefault="009F0613" w:rsidP="00203AEF">
            <w:pPr>
              <w:rPr>
                <w:rFonts w:cs="Arial"/>
                <w:sz w:val="24"/>
                <w:szCs w:val="24"/>
              </w:rPr>
            </w:pPr>
          </w:p>
          <w:p w14:paraId="11811C63" w14:textId="77777777" w:rsidR="009F0613" w:rsidRPr="00A1564A" w:rsidRDefault="009F0613" w:rsidP="00203AEF">
            <w:pPr>
              <w:rPr>
                <w:rFonts w:cs="Arial"/>
                <w:sz w:val="24"/>
                <w:szCs w:val="24"/>
              </w:rPr>
            </w:pPr>
          </w:p>
          <w:p w14:paraId="212ACA59" w14:textId="77777777" w:rsidR="009F0613" w:rsidRPr="00A1564A" w:rsidRDefault="009F0613" w:rsidP="00203AEF">
            <w:pPr>
              <w:rPr>
                <w:rFonts w:cs="Arial"/>
                <w:sz w:val="24"/>
                <w:szCs w:val="24"/>
              </w:rPr>
            </w:pPr>
          </w:p>
          <w:p w14:paraId="01A17DA5" w14:textId="77777777" w:rsidR="009F0613" w:rsidRPr="00A1564A" w:rsidRDefault="009F0613" w:rsidP="00203AEF">
            <w:pPr>
              <w:rPr>
                <w:rFonts w:cs="Arial"/>
                <w:sz w:val="24"/>
                <w:szCs w:val="24"/>
              </w:rPr>
            </w:pPr>
          </w:p>
          <w:p w14:paraId="2B5DD718" w14:textId="77777777" w:rsidR="009F0613" w:rsidRPr="00A1564A" w:rsidRDefault="009F0613" w:rsidP="00203AEF">
            <w:pPr>
              <w:rPr>
                <w:rFonts w:cs="Arial"/>
                <w:sz w:val="24"/>
                <w:szCs w:val="24"/>
              </w:rPr>
            </w:pPr>
          </w:p>
          <w:p w14:paraId="4A117761" w14:textId="0BFA4982" w:rsidR="009F0613" w:rsidRPr="00A1564A" w:rsidRDefault="009F0613" w:rsidP="00203AEF">
            <w:pPr>
              <w:rPr>
                <w:rFonts w:cs="Arial"/>
                <w:sz w:val="24"/>
                <w:szCs w:val="24"/>
              </w:rPr>
            </w:pPr>
            <w:r w:rsidRPr="00A1564A">
              <w:rPr>
                <w:rFonts w:cs="Arial"/>
                <w:sz w:val="24"/>
                <w:szCs w:val="24"/>
              </w:rPr>
              <w:t xml:space="preserve">Experts in one subject are often unreliable when they </w:t>
            </w:r>
            <w:r w:rsidR="00B800D6" w:rsidRPr="00A1564A">
              <w:rPr>
                <w:rFonts w:cs="Arial"/>
                <w:sz w:val="24"/>
                <w:szCs w:val="24"/>
              </w:rPr>
              <w:t xml:space="preserve">write </w:t>
            </w:r>
            <w:r w:rsidRPr="00A1564A">
              <w:rPr>
                <w:rFonts w:cs="Arial"/>
                <w:sz w:val="24"/>
                <w:szCs w:val="24"/>
              </w:rPr>
              <w:t>about another subject.</w:t>
            </w:r>
          </w:p>
          <w:p w14:paraId="1B1DAA68" w14:textId="77777777" w:rsidR="009F0613" w:rsidRPr="00A1564A" w:rsidRDefault="009F0613" w:rsidP="00203AEF">
            <w:pPr>
              <w:rPr>
                <w:rFonts w:cs="Arial"/>
                <w:sz w:val="24"/>
                <w:szCs w:val="24"/>
              </w:rPr>
            </w:pPr>
          </w:p>
          <w:p w14:paraId="5C1F11A0" w14:textId="77777777" w:rsidR="009F0613" w:rsidRPr="00A1564A" w:rsidRDefault="009F0613" w:rsidP="00203AEF">
            <w:pPr>
              <w:rPr>
                <w:rFonts w:cs="Arial"/>
                <w:sz w:val="24"/>
                <w:szCs w:val="24"/>
              </w:rPr>
            </w:pPr>
          </w:p>
          <w:p w14:paraId="2EF409A8" w14:textId="77777777" w:rsidR="009F0613" w:rsidRPr="00A1564A" w:rsidRDefault="009F0613" w:rsidP="00203AEF">
            <w:pPr>
              <w:rPr>
                <w:rFonts w:cs="Arial"/>
                <w:sz w:val="24"/>
                <w:szCs w:val="24"/>
              </w:rPr>
            </w:pPr>
          </w:p>
          <w:p w14:paraId="63234666" w14:textId="77777777" w:rsidR="009F0613" w:rsidRPr="00A1564A" w:rsidRDefault="009F0613" w:rsidP="00203AEF">
            <w:pPr>
              <w:rPr>
                <w:rFonts w:cs="Arial"/>
                <w:sz w:val="24"/>
                <w:szCs w:val="24"/>
              </w:rPr>
            </w:pPr>
          </w:p>
          <w:p w14:paraId="5B50A51F" w14:textId="77777777" w:rsidR="009F0613" w:rsidRPr="00A1564A" w:rsidRDefault="009F0613" w:rsidP="00203AEF">
            <w:pPr>
              <w:rPr>
                <w:rFonts w:cs="Arial"/>
                <w:sz w:val="24"/>
                <w:szCs w:val="24"/>
              </w:rPr>
            </w:pPr>
          </w:p>
          <w:p w14:paraId="3FDB8FF2" w14:textId="77777777" w:rsidR="009F0613" w:rsidRPr="00A1564A" w:rsidRDefault="009F0613" w:rsidP="00203AEF">
            <w:pPr>
              <w:rPr>
                <w:rFonts w:cs="Arial"/>
                <w:sz w:val="24"/>
                <w:szCs w:val="24"/>
              </w:rPr>
            </w:pPr>
          </w:p>
          <w:p w14:paraId="652E1027" w14:textId="77777777" w:rsidR="009F0613" w:rsidRPr="00A1564A" w:rsidRDefault="009F0613" w:rsidP="00203AEF">
            <w:pPr>
              <w:rPr>
                <w:rFonts w:cs="Arial"/>
                <w:sz w:val="24"/>
                <w:szCs w:val="24"/>
              </w:rPr>
            </w:pPr>
          </w:p>
          <w:p w14:paraId="332E8ED2" w14:textId="77777777" w:rsidR="009F0613" w:rsidRPr="00A1564A" w:rsidRDefault="009F0613" w:rsidP="00203AEF">
            <w:pPr>
              <w:rPr>
                <w:rFonts w:cs="Arial"/>
                <w:sz w:val="24"/>
                <w:szCs w:val="24"/>
              </w:rPr>
            </w:pPr>
          </w:p>
          <w:p w14:paraId="1C29E249" w14:textId="77777777" w:rsidR="009F0613" w:rsidRPr="00A1564A" w:rsidRDefault="009F0613" w:rsidP="00203AEF">
            <w:pPr>
              <w:rPr>
                <w:rFonts w:cs="Arial"/>
                <w:sz w:val="24"/>
                <w:szCs w:val="24"/>
              </w:rPr>
            </w:pPr>
          </w:p>
          <w:p w14:paraId="0DDAD5C0" w14:textId="77777777" w:rsidR="009F0613" w:rsidRPr="00A1564A" w:rsidRDefault="009F0613" w:rsidP="00203AEF">
            <w:pPr>
              <w:rPr>
                <w:rFonts w:cs="Arial"/>
                <w:sz w:val="24"/>
                <w:szCs w:val="24"/>
              </w:rPr>
            </w:pPr>
          </w:p>
          <w:p w14:paraId="1F46E851" w14:textId="177581BD" w:rsidR="009F0613" w:rsidRPr="00A1564A" w:rsidRDefault="00A1564A" w:rsidP="00203AEF">
            <w:pPr>
              <w:rPr>
                <w:rFonts w:cs="Arial"/>
                <w:sz w:val="24"/>
                <w:szCs w:val="24"/>
              </w:rPr>
            </w:pPr>
            <w:r w:rsidRPr="00A1564A">
              <w:rPr>
                <w:rFonts w:cs="Arial"/>
                <w:sz w:val="24"/>
                <w:szCs w:val="24"/>
              </w:rPr>
              <w:t>What are the risks of accepting a claim that is ultimately proven to be wrong? What are the risks of not accepting a claim that is ultimately proven to be correct?</w:t>
            </w:r>
          </w:p>
        </w:tc>
      </w:tr>
    </w:tbl>
    <w:p w14:paraId="228E79DC" w14:textId="77777777" w:rsidR="009F0613" w:rsidRPr="009F0613" w:rsidRDefault="009F0613" w:rsidP="009F0613">
      <w:pPr>
        <w:widowControl w:val="0"/>
        <w:autoSpaceDE w:val="0"/>
        <w:autoSpaceDN w:val="0"/>
        <w:adjustRightInd w:val="0"/>
        <w:rPr>
          <w:b/>
          <w:bCs/>
          <w:sz w:val="24"/>
        </w:rPr>
      </w:pPr>
    </w:p>
    <w:bookmarkEnd w:id="2"/>
    <w:p w14:paraId="4EE5B4ED" w14:textId="77777777" w:rsidR="009F0613" w:rsidRPr="009F0613" w:rsidRDefault="009F0613" w:rsidP="009F0613">
      <w:pPr>
        <w:rPr>
          <w:b/>
          <w:sz w:val="24"/>
        </w:rPr>
      </w:pPr>
    </w:p>
    <w:p w14:paraId="4B41E92E" w14:textId="4D7E08BE" w:rsidR="006957E8" w:rsidRPr="009F0613" w:rsidRDefault="006957E8">
      <w:pPr>
        <w:rPr>
          <w:b/>
        </w:rPr>
      </w:pPr>
    </w:p>
    <w:sectPr w:rsidR="006957E8" w:rsidRPr="009F0613" w:rsidSect="00B04433">
      <w:footerReference w:type="even" r:id="rId11"/>
      <w:footerReference w:type="default" r:id="rId12"/>
      <w:pgSz w:w="12240" w:h="15840"/>
      <w:pgMar w:top="1440" w:right="1800" w:bottom="864" w:left="180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EB982" w14:textId="77777777" w:rsidR="00F82286" w:rsidRDefault="00F82286">
      <w:r>
        <w:separator/>
      </w:r>
    </w:p>
  </w:endnote>
  <w:endnote w:type="continuationSeparator" w:id="0">
    <w:p w14:paraId="64E48A23" w14:textId="77777777" w:rsidR="00F82286" w:rsidRDefault="00F8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dprint">
    <w:altName w:val="Courier New"/>
    <w:charset w:val="00"/>
    <w:family w:val="script"/>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AB7F" w14:textId="77777777" w:rsidR="005F2733" w:rsidRDefault="005F27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44D058" w14:textId="77777777" w:rsidR="005F2733" w:rsidRDefault="005F2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8721" w14:textId="77777777" w:rsidR="005F2733" w:rsidRDefault="005F27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852B542" w14:textId="77777777" w:rsidR="005F2733" w:rsidRDefault="005F2733" w:rsidP="00633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F051B" w14:textId="77777777" w:rsidR="00F82286" w:rsidRDefault="00F82286">
      <w:r>
        <w:separator/>
      </w:r>
    </w:p>
  </w:footnote>
  <w:footnote w:type="continuationSeparator" w:id="0">
    <w:p w14:paraId="4F356521" w14:textId="77777777" w:rsidR="00F82286" w:rsidRDefault="00F82286">
      <w:r>
        <w:continuationSeparator/>
      </w:r>
    </w:p>
  </w:footnote>
  <w:footnote w:id="1">
    <w:p w14:paraId="32D0B2E7" w14:textId="05B626B0" w:rsidR="00F06F75" w:rsidRPr="00633119" w:rsidRDefault="00F06F75" w:rsidP="00F06F75">
      <w:pPr>
        <w:pStyle w:val="Heading3"/>
        <w:spacing w:before="0" w:after="0"/>
        <w:rPr>
          <w:rFonts w:ascii="Times New Roman" w:hAnsi="Times New Roman"/>
          <w:b w:val="0"/>
          <w:sz w:val="20"/>
          <w:szCs w:val="20"/>
        </w:rPr>
      </w:pPr>
      <w:r w:rsidRPr="00633119">
        <w:rPr>
          <w:rStyle w:val="FootnoteReference"/>
          <w:rFonts w:ascii="Times New Roman" w:hAnsi="Times New Roman"/>
          <w:b w:val="0"/>
          <w:sz w:val="20"/>
          <w:szCs w:val="20"/>
        </w:rPr>
        <w:footnoteRef/>
      </w:r>
      <w:r w:rsidRPr="00633119">
        <w:rPr>
          <w:rStyle w:val="Emphasis"/>
          <w:rFonts w:ascii="Times New Roman" w:hAnsi="Times New Roman"/>
          <w:b w:val="0"/>
          <w:sz w:val="20"/>
          <w:szCs w:val="20"/>
        </w:rPr>
        <w:t xml:space="preserve"> </w:t>
      </w:r>
      <w:r w:rsidRPr="00633119">
        <w:rPr>
          <w:rStyle w:val="Emphasis"/>
          <w:rFonts w:ascii="Times New Roman" w:hAnsi="Times New Roman"/>
          <w:b w:val="0"/>
          <w:i w:val="0"/>
          <w:sz w:val="20"/>
          <w:szCs w:val="20"/>
        </w:rPr>
        <w:t>By</w:t>
      </w:r>
      <w:r w:rsidRPr="00633119">
        <w:rPr>
          <w:rStyle w:val="Emphasis"/>
          <w:rFonts w:ascii="Times New Roman" w:hAnsi="Times New Roman"/>
          <w:b w:val="0"/>
          <w:sz w:val="20"/>
          <w:szCs w:val="20"/>
        </w:rPr>
        <w:t xml:space="preserve"> </w:t>
      </w:r>
      <w:r w:rsidRPr="00633119">
        <w:rPr>
          <w:rFonts w:ascii="Times New Roman" w:hAnsi="Times New Roman"/>
          <w:b w:val="0"/>
          <w:sz w:val="20"/>
          <w:szCs w:val="20"/>
        </w:rPr>
        <w:t xml:space="preserve">Dr. Ingrid Waldron, Department of Biology, University of Pennsylvania, </w:t>
      </w:r>
      <w:bookmarkStart w:id="0" w:name="_Hlk150598160"/>
      <w:r w:rsidRPr="00633119">
        <w:rPr>
          <w:rFonts w:ascii="Times New Roman" w:hAnsi="Times New Roman"/>
          <w:b w:val="0"/>
          <w:sz w:val="20"/>
          <w:szCs w:val="20"/>
        </w:rPr>
        <w:t>©</w:t>
      </w:r>
      <w:bookmarkEnd w:id="0"/>
      <w:r w:rsidRPr="00633119">
        <w:rPr>
          <w:rFonts w:ascii="Times New Roman" w:hAnsi="Times New Roman"/>
          <w:b w:val="0"/>
          <w:sz w:val="20"/>
          <w:szCs w:val="20"/>
        </w:rPr>
        <w:t xml:space="preserve"> 20</w:t>
      </w:r>
      <w:r w:rsidR="00775FA7" w:rsidRPr="00633119">
        <w:rPr>
          <w:rFonts w:ascii="Times New Roman" w:hAnsi="Times New Roman"/>
          <w:b w:val="0"/>
          <w:sz w:val="20"/>
          <w:szCs w:val="20"/>
        </w:rPr>
        <w:t>2</w:t>
      </w:r>
      <w:r w:rsidR="00511784" w:rsidRPr="00633119">
        <w:rPr>
          <w:rFonts w:ascii="Times New Roman" w:hAnsi="Times New Roman"/>
          <w:b w:val="0"/>
          <w:sz w:val="20"/>
          <w:szCs w:val="20"/>
        </w:rPr>
        <w:t>4</w:t>
      </w:r>
      <w:r w:rsidRPr="00633119">
        <w:rPr>
          <w:rFonts w:ascii="Times New Roman" w:hAnsi="Times New Roman"/>
          <w:b w:val="0"/>
          <w:sz w:val="20"/>
          <w:szCs w:val="20"/>
        </w:rPr>
        <w:t>. These</w:t>
      </w:r>
      <w:r w:rsidRPr="00633119">
        <w:rPr>
          <w:rFonts w:ascii="Times New Roman" w:hAnsi="Times New Roman"/>
          <w:b w:val="0"/>
          <w:i/>
          <w:sz w:val="20"/>
          <w:szCs w:val="20"/>
        </w:rPr>
        <w:t xml:space="preserve"> </w:t>
      </w:r>
      <w:r w:rsidRPr="00633119">
        <w:rPr>
          <w:rStyle w:val="Emphasis"/>
          <w:rFonts w:ascii="Times New Roman" w:hAnsi="Times New Roman"/>
          <w:b w:val="0"/>
          <w:i w:val="0"/>
          <w:sz w:val="20"/>
          <w:szCs w:val="20"/>
        </w:rPr>
        <w:t xml:space="preserve">Teacher Notes and the related Student Handout are available at </w:t>
      </w:r>
      <w:hyperlink r:id="rId1" w:history="1">
        <w:r w:rsidR="00633119" w:rsidRPr="00633119">
          <w:rPr>
            <w:rStyle w:val="Hyperlink"/>
            <w:rFonts w:ascii="Times New Roman" w:hAnsi="Times New Roman"/>
            <w:b w:val="0"/>
            <w:sz w:val="20"/>
            <w:szCs w:val="20"/>
          </w:rPr>
          <w:t>https://serendipstudio.org/exchange/bioactivities/GeneticsWebSearch</w:t>
        </w:r>
      </w:hyperlink>
      <w:r w:rsidR="00633119" w:rsidRPr="00633119">
        <w:rPr>
          <w:rFonts w:ascii="Times New Roman" w:hAnsi="Times New Roman"/>
          <w:b w:val="0"/>
          <w:sz w:val="20"/>
          <w:szCs w:val="20"/>
        </w:rPr>
        <w:t>.</w:t>
      </w:r>
    </w:p>
  </w:footnote>
  <w:footnote w:id="2">
    <w:p w14:paraId="2F341E94" w14:textId="64E51991" w:rsidR="00E0013A" w:rsidRPr="00D32FAC" w:rsidRDefault="00E0013A" w:rsidP="00E0013A">
      <w:pPr>
        <w:pStyle w:val="FootnoteText"/>
        <w:rPr>
          <w:color w:val="0563C1"/>
          <w:sz w:val="18"/>
          <w:szCs w:val="18"/>
          <w:u w:val="single"/>
        </w:rPr>
      </w:pPr>
      <w:r w:rsidRPr="00C21D9D">
        <w:rPr>
          <w:rStyle w:val="FootnoteReference"/>
        </w:rPr>
        <w:footnoteRef/>
      </w:r>
      <w:r w:rsidRPr="00C21D9D">
        <w:t xml:space="preserve"> Quotations</w:t>
      </w:r>
      <w:bookmarkStart w:id="1" w:name="_Hlk165791174"/>
      <w:r w:rsidRPr="00C21D9D">
        <w:t xml:space="preserve"> from</w:t>
      </w:r>
      <w:r>
        <w:t xml:space="preserve"> </w:t>
      </w:r>
      <w:hyperlink r:id="rId2" w:history="1">
        <w:r w:rsidRPr="00C21D9D">
          <w:rPr>
            <w:rStyle w:val="Hyperlink"/>
          </w:rPr>
          <w:t>https://www.nextgenscience.org/</w:t>
        </w:r>
      </w:hyperlink>
      <w:r w:rsidR="00D4012C">
        <w:rPr>
          <w:rStyle w:val="Hyperlink"/>
          <w:u w:val="none"/>
        </w:rPr>
        <w:t xml:space="preserve"> </w:t>
      </w:r>
      <w:r w:rsidR="00D4012C" w:rsidRPr="00D4012C">
        <w:rPr>
          <w:rStyle w:val="Hyperlink"/>
          <w:color w:val="auto"/>
          <w:u w:val="none"/>
        </w:rPr>
        <w:t>and</w:t>
      </w:r>
      <w:r w:rsidR="00D4012C" w:rsidRPr="00D4012C">
        <w:rPr>
          <w:rStyle w:val="Hyperlink"/>
          <w:color w:val="auto"/>
        </w:rPr>
        <w:t xml:space="preserve"> </w:t>
      </w:r>
      <w:r w:rsidRPr="00D4012C">
        <w:rPr>
          <w:rStyle w:val="Hyperlink"/>
          <w:color w:val="auto"/>
        </w:rPr>
        <w:t xml:space="preserve"> </w:t>
      </w:r>
      <w:r w:rsidRPr="00D4012C">
        <w:t xml:space="preserve"> </w:t>
      </w:r>
      <w:bookmarkEnd w:id="1"/>
      <w:r>
        <w:fldChar w:fldCharType="begin"/>
      </w:r>
      <w:r>
        <w:instrText xml:space="preserve"> HYPERLINK "https://www.nextgenscience.org/sites/default/files/HS%20LS%20topics%20combined%206.13.13.pdf" </w:instrText>
      </w:r>
      <w:r>
        <w:fldChar w:fldCharType="separate"/>
      </w:r>
      <w:r w:rsidRPr="00C21D9D">
        <w:rPr>
          <w:rStyle w:val="Hyperlink"/>
        </w:rPr>
        <w:t>https://www.nextgenscience.org/sites/default/files/HS%20LS%20topics%20combined%206.13.13.pdf</w:t>
      </w:r>
      <w:r>
        <w:rPr>
          <w:rStyle w:val="Hyperlink"/>
        </w:rPr>
        <w:fldChar w:fldCharType="end"/>
      </w:r>
      <w:r w:rsidRPr="00C21D9D">
        <w:t>.</w:t>
      </w:r>
      <w:r>
        <w:rPr>
          <w:sz w:val="18"/>
          <w:szCs w:val="18"/>
        </w:rPr>
        <w:t xml:space="preserve"> </w:t>
      </w:r>
    </w:p>
  </w:footnote>
  <w:footnote w:id="3">
    <w:p w14:paraId="10F3D70F" w14:textId="77777777" w:rsidR="005247A0" w:rsidRDefault="005247A0" w:rsidP="005247A0">
      <w:r>
        <w:rPr>
          <w:rStyle w:val="FootnoteReference"/>
        </w:rPr>
        <w:footnoteRef/>
      </w:r>
      <w:r>
        <w:t xml:space="preserve"> </w:t>
      </w:r>
      <w:r w:rsidRPr="001E6797">
        <w:t>For this purpose</w:t>
      </w:r>
      <w:r>
        <w:t>,</w:t>
      </w:r>
      <w:r w:rsidRPr="001E6797">
        <w:t xml:space="preserve"> you</w:t>
      </w:r>
      <w:r>
        <w:t xml:space="preserve"> will </w:t>
      </w:r>
      <w:r w:rsidRPr="001E6797">
        <w:t xml:space="preserve">want one whiteboard per student group in your largest class. </w:t>
      </w:r>
      <w:r w:rsidRPr="0039383A">
        <w:t xml:space="preserve">For information about how to make inexpensive whiteboards and use them in your teaching, see "The $2 interactive whiteboard" and "Resources for whiteboarding" in </w:t>
      </w:r>
      <w:hyperlink r:id="rId3" w:history="1">
        <w:r w:rsidRPr="0039383A">
          <w:rPr>
            <w:rStyle w:val="Hyperlink"/>
          </w:rPr>
          <w:t>https://fnoschese.wordpress.com/2010/08/06/the-2-interactive-whiteboard/</w:t>
        </w:r>
      </w:hyperlink>
      <w:r w:rsidRPr="0039383A">
        <w:t xml:space="preserve">. </w:t>
      </w:r>
    </w:p>
    <w:p w14:paraId="758E273F" w14:textId="77777777" w:rsidR="005247A0" w:rsidRDefault="005247A0" w:rsidP="005247A0">
      <w:r w:rsidRPr="001E6797">
        <w:t xml:space="preserve">To </w:t>
      </w:r>
      <w:r w:rsidRPr="006C74BA">
        <w:t xml:space="preserve">obtain whiteboards, you can go to Home Depot </w:t>
      </w:r>
      <w:r>
        <w:t xml:space="preserve">or Lowe's </w:t>
      </w:r>
      <w:r w:rsidRPr="006C74BA">
        <w:t>and ask them to cut a</w:t>
      </w:r>
      <w:r>
        <w:t>n</w:t>
      </w:r>
      <w:r w:rsidRPr="006C74BA">
        <w:t xml:space="preserve"> 8' x 4' whiteboard (e.g. EUCATILE Hardboard Thrifty White Tile Board) into six pieces with the dimension 32" x 24". They should have a power saw rig that allows their employees to cut the pieces very easily. They should not charge to cut them and the product cost is reasonable. </w:t>
      </w:r>
      <w:r w:rsidRPr="006C74BA">
        <w:br/>
        <w:t xml:space="preserve">Some important tips </w:t>
      </w:r>
      <w:r>
        <w:t>for using whiteboards:</w:t>
      </w:r>
      <w:r w:rsidRPr="006C74BA">
        <w:br/>
        <w:t xml:space="preserve">– Coat the white boards with </w:t>
      </w:r>
      <w:proofErr w:type="spellStart"/>
      <w:r w:rsidRPr="006C74BA">
        <w:t>Endust</w:t>
      </w:r>
      <w:proofErr w:type="spellEnd"/>
      <w:r w:rsidRPr="006C74BA">
        <w:t xml:space="preserve"> (or similar product) before using. Every once in a while</w:t>
      </w:r>
      <w:r>
        <w:t>,</w:t>
      </w:r>
      <w:r w:rsidRPr="006C74BA">
        <w:t xml:space="preserve"> wipe them clean and reapply </w:t>
      </w:r>
      <w:proofErr w:type="spellStart"/>
      <w:r w:rsidRPr="006C74BA">
        <w:t>Endust</w:t>
      </w:r>
      <w:proofErr w:type="spellEnd"/>
      <w:r w:rsidRPr="006C74BA">
        <w:t>.</w:t>
      </w:r>
      <w:r w:rsidRPr="006C74BA">
        <w:br/>
        <w:t>– Black markers</w:t>
      </w:r>
      <w:r>
        <w:t xml:space="preserve"> are easiest to erase. To prevent stains, erase right away, especially red or green markers. Do not use markers that are old or almost empty, since the ink from these is more difficult to erase. Recommended brands are Expo markers and Pilot </w:t>
      </w:r>
      <w:proofErr w:type="spellStart"/>
      <w:r>
        <w:t>BeGreen</w:t>
      </w:r>
      <w:proofErr w:type="spellEnd"/>
      <w:r>
        <w:t xml:space="preserve"> markers. To clean up stains you can use Windex or Expo Whiteboard Cleaner.</w:t>
      </w:r>
      <w:r w:rsidRPr="006C74BA">
        <w:br/>
        <w:t>– Teacher and/or students can take a picture of the information on the board if they want to save it.</w:t>
      </w:r>
    </w:p>
    <w:p w14:paraId="6984A30E" w14:textId="77777777" w:rsidR="005247A0" w:rsidRDefault="005247A0" w:rsidP="005247A0">
      <w:pPr>
        <w:pStyle w:val="FootnoteText"/>
      </w:pPr>
      <w:r>
        <w:t>Whiteboards.</w:t>
      </w:r>
    </w:p>
  </w:footnote>
  <w:footnote w:id="4">
    <w:p w14:paraId="08F813D1" w14:textId="610806D0" w:rsidR="00633119" w:rsidRDefault="00633119">
      <w:pPr>
        <w:pStyle w:val="FootnoteText"/>
      </w:pPr>
      <w:bookmarkStart w:id="4" w:name="_GoBack"/>
      <w:bookmarkEnd w:id="4"/>
      <w:r>
        <w:rPr>
          <w:rStyle w:val="FootnoteReference"/>
        </w:rPr>
        <w:footnoteRef/>
      </w:r>
      <w:r>
        <w:t xml:space="preserve"> </w:t>
      </w:r>
      <w:r w:rsidRPr="00633119">
        <w:rPr>
          <w:szCs w:val="24"/>
        </w:rPr>
        <w:t>The OMIM source is quite technical and will be too advanced for many high school students. This</w:t>
      </w:r>
      <w:r w:rsidR="000F568E">
        <w:rPr>
          <w:szCs w:val="24"/>
        </w:rPr>
        <w:t xml:space="preserve"> source</w:t>
      </w:r>
      <w:r w:rsidRPr="00633119">
        <w:rPr>
          <w:szCs w:val="24"/>
        </w:rPr>
        <w:t xml:space="preserve"> would be particularly useful</w:t>
      </w:r>
      <w:r w:rsidR="000F568E">
        <w:rPr>
          <w:szCs w:val="24"/>
        </w:rPr>
        <w:t xml:space="preserve"> if </w:t>
      </w:r>
      <w:r w:rsidRPr="00633119">
        <w:rPr>
          <w:szCs w:val="24"/>
        </w:rPr>
        <w:t xml:space="preserve">your students </w:t>
      </w:r>
      <w:r w:rsidR="000F568E">
        <w:rPr>
          <w:szCs w:val="24"/>
        </w:rPr>
        <w:t xml:space="preserve">want </w:t>
      </w:r>
      <w:r w:rsidRPr="00633119">
        <w:rPr>
          <w:szCs w:val="24"/>
        </w:rPr>
        <w:t>to investigate inherited traits such as albinism or blood type.</w:t>
      </w:r>
    </w:p>
  </w:footnote>
  <w:footnote w:id="5">
    <w:p w14:paraId="553BCF14" w14:textId="22A1A634" w:rsidR="009F0613" w:rsidRDefault="009F0613" w:rsidP="009F0613">
      <w:pPr>
        <w:pStyle w:val="FootnoteText"/>
      </w:pPr>
      <w:r>
        <w:rPr>
          <w:rStyle w:val="FootnoteReference"/>
        </w:rPr>
        <w:footnoteRef/>
      </w:r>
      <w:r>
        <w:t xml:space="preserve"> This rubric is from </w:t>
      </w:r>
      <w:hyperlink r:id="rId4" w:history="1">
        <w:r w:rsidRPr="00275740">
          <w:rPr>
            <w:rStyle w:val="Hyperlink"/>
          </w:rPr>
          <w:t>https://sciedandmisinfo.stanford.edu/sites/g/files/sbiybj25316/files/media/file/why_trust_science-ecb.pdf</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7065F"/>
    <w:multiLevelType w:val="hybridMultilevel"/>
    <w:tmpl w:val="3578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B4FB6"/>
    <w:multiLevelType w:val="hybridMultilevel"/>
    <w:tmpl w:val="6086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F6072D"/>
    <w:multiLevelType w:val="hybridMultilevel"/>
    <w:tmpl w:val="F116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dObjects" w:val=" "/>
    <w:docVar w:name="dgnword-docGUID" w:val="{192F7D83-E218-4751-8AAC-545FA1B25E55}"/>
    <w:docVar w:name="dgnword-eventsink" w:val="2308313721024"/>
    <w:docVar w:name="lastRangeEnd" w:val="3960"/>
    <w:docVar w:name="lastRangeStart" w:val="3902"/>
    <w:docVar w:name="SelEnd" w:val=" "/>
    <w:docVar w:name="SelStart" w:val=" "/>
  </w:docVars>
  <w:rsids>
    <w:rsidRoot w:val="00987794"/>
    <w:rsid w:val="00021A48"/>
    <w:rsid w:val="000A12F1"/>
    <w:rsid w:val="000F336D"/>
    <w:rsid w:val="000F568E"/>
    <w:rsid w:val="001227BF"/>
    <w:rsid w:val="0017224D"/>
    <w:rsid w:val="0017462F"/>
    <w:rsid w:val="001802AF"/>
    <w:rsid w:val="0019205C"/>
    <w:rsid w:val="001B36B3"/>
    <w:rsid w:val="002D5FFC"/>
    <w:rsid w:val="002E4266"/>
    <w:rsid w:val="0034014A"/>
    <w:rsid w:val="00373E85"/>
    <w:rsid w:val="004036D8"/>
    <w:rsid w:val="00422283"/>
    <w:rsid w:val="00511784"/>
    <w:rsid w:val="005247A0"/>
    <w:rsid w:val="00530133"/>
    <w:rsid w:val="0053133C"/>
    <w:rsid w:val="0053594E"/>
    <w:rsid w:val="00585824"/>
    <w:rsid w:val="005A6007"/>
    <w:rsid w:val="005B732F"/>
    <w:rsid w:val="005F2733"/>
    <w:rsid w:val="00604292"/>
    <w:rsid w:val="00633119"/>
    <w:rsid w:val="00686119"/>
    <w:rsid w:val="006957E8"/>
    <w:rsid w:val="006D1FA2"/>
    <w:rsid w:val="007378F1"/>
    <w:rsid w:val="00771689"/>
    <w:rsid w:val="00775FA7"/>
    <w:rsid w:val="0078112B"/>
    <w:rsid w:val="007B015D"/>
    <w:rsid w:val="008675BF"/>
    <w:rsid w:val="008B2436"/>
    <w:rsid w:val="008C0257"/>
    <w:rsid w:val="008C73A8"/>
    <w:rsid w:val="008D0A0A"/>
    <w:rsid w:val="008D5C14"/>
    <w:rsid w:val="009068E9"/>
    <w:rsid w:val="0098367F"/>
    <w:rsid w:val="00987794"/>
    <w:rsid w:val="009A3E2E"/>
    <w:rsid w:val="009F0613"/>
    <w:rsid w:val="00A1564A"/>
    <w:rsid w:val="00AC26DC"/>
    <w:rsid w:val="00AE5065"/>
    <w:rsid w:val="00B04433"/>
    <w:rsid w:val="00B077F0"/>
    <w:rsid w:val="00B77145"/>
    <w:rsid w:val="00B800D6"/>
    <w:rsid w:val="00C627B1"/>
    <w:rsid w:val="00CB2F9A"/>
    <w:rsid w:val="00D175D1"/>
    <w:rsid w:val="00D4012C"/>
    <w:rsid w:val="00D556EB"/>
    <w:rsid w:val="00E0013A"/>
    <w:rsid w:val="00E00767"/>
    <w:rsid w:val="00E23818"/>
    <w:rsid w:val="00E41346"/>
    <w:rsid w:val="00E50F96"/>
    <w:rsid w:val="00E56AE5"/>
    <w:rsid w:val="00E851F6"/>
    <w:rsid w:val="00EB726F"/>
    <w:rsid w:val="00EC4A94"/>
    <w:rsid w:val="00ED7A75"/>
    <w:rsid w:val="00F05EC8"/>
    <w:rsid w:val="00F06F75"/>
    <w:rsid w:val="00F16647"/>
    <w:rsid w:val="00F223B0"/>
    <w:rsid w:val="00F74537"/>
    <w:rsid w:val="00F82286"/>
    <w:rsid w:val="00FD5FD0"/>
    <w:rsid w:val="00FE0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54534"/>
  <w15:chartTrackingRefBased/>
  <w15:docId w15:val="{B2F28205-775E-4055-B51D-2B01FA6E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ind w:left="360"/>
      <w:jc w:val="center"/>
      <w:outlineLvl w:val="0"/>
    </w:pPr>
    <w:rPr>
      <w:rFonts w:ascii="Kidprint" w:hAnsi="Kidprint"/>
      <w:b/>
      <w:sz w:val="28"/>
      <w:u w:val="single"/>
    </w:rPr>
  </w:style>
  <w:style w:type="paragraph" w:styleId="Heading2">
    <w:name w:val="heading 2"/>
    <w:basedOn w:val="Normal"/>
    <w:next w:val="Normal"/>
    <w:qFormat/>
    <w:pPr>
      <w:keepNext/>
      <w:jc w:val="center"/>
      <w:outlineLvl w:val="1"/>
    </w:pPr>
    <w:rPr>
      <w:rFonts w:ascii="Kidprint" w:hAnsi="Kidprint"/>
      <w:b/>
      <w:sz w:val="28"/>
      <w:u w:val="single"/>
    </w:rPr>
  </w:style>
  <w:style w:type="paragraph" w:styleId="Heading3">
    <w:name w:val="heading 3"/>
    <w:basedOn w:val="Normal"/>
    <w:next w:val="Normal"/>
    <w:link w:val="Heading3Char"/>
    <w:uiPriority w:val="9"/>
    <w:semiHidden/>
    <w:unhideWhenUsed/>
    <w:qFormat/>
    <w:rsid w:val="00F06F7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ind w:left="360"/>
      <w:jc w:val="center"/>
    </w:pPr>
    <w:rPr>
      <w:rFonts w:ascii="Kidprint" w:hAnsi="Kidprint"/>
      <w:b/>
      <w:sz w:val="32"/>
    </w:rPr>
  </w:style>
  <w:style w:type="paragraph" w:styleId="BodyTextIndent">
    <w:name w:val="Body Text Indent"/>
    <w:basedOn w:val="Normal"/>
    <w:pPr>
      <w:ind w:left="360" w:firstLine="360"/>
    </w:pPr>
    <w:rPr>
      <w:rFonts w:ascii="Kidprint" w:hAnsi="Kidprint"/>
      <w:sz w:val="32"/>
    </w:rPr>
  </w:style>
  <w:style w:type="paragraph" w:styleId="BodyTextIndent2">
    <w:name w:val="Body Text Indent 2"/>
    <w:basedOn w:val="Normal"/>
    <w:pPr>
      <w:ind w:left="360"/>
    </w:pPr>
    <w:rPr>
      <w:rFonts w:ascii="Kidprint" w:hAnsi="Kidprint"/>
      <w:b/>
      <w:sz w:val="28"/>
    </w:rPr>
  </w:style>
  <w:style w:type="character" w:styleId="FollowedHyperlink">
    <w:name w:val="FollowedHyperlink"/>
    <w:rPr>
      <w:color w:val="800080"/>
      <w:u w:val="single"/>
    </w:rPr>
  </w:style>
  <w:style w:type="paragraph" w:styleId="BodyTextIndent3">
    <w:name w:val="Body Text Indent 3"/>
    <w:basedOn w:val="Normal"/>
    <w:pPr>
      <w:ind w:firstLine="360"/>
    </w:pPr>
    <w:rPr>
      <w:rFonts w:ascii="Kidprint" w:hAnsi="Kidprint"/>
      <w:b/>
      <w:sz w:val="28"/>
    </w:rPr>
  </w:style>
  <w:style w:type="paragraph" w:styleId="BodyText">
    <w:name w:val="Body Text"/>
    <w:basedOn w:val="Normal"/>
    <w:pPr>
      <w:autoSpaceDE w:val="0"/>
      <w:autoSpaceDN w:val="0"/>
      <w:adjustRightInd w:val="0"/>
    </w:pPr>
    <w:rPr>
      <w:rFonts w:ascii="Arial" w:hAnsi="Arial" w:cs="Arial"/>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HTMLBody">
    <w:name w:val="HTML Body"/>
    <w:pPr>
      <w:autoSpaceDE w:val="0"/>
      <w:autoSpaceDN w:val="0"/>
      <w:adjustRightInd w:val="0"/>
    </w:pPr>
    <w:rPr>
      <w:rFonts w:ascii="Arial" w:hAnsi="Arial"/>
    </w:rPr>
  </w:style>
  <w:style w:type="paragraph" w:styleId="BodyText2">
    <w:name w:val="Body Text 2"/>
    <w:basedOn w:val="Normal"/>
    <w:rPr>
      <w:rFonts w:ascii="Arial" w:hAnsi="Arial" w:cs="Arial"/>
      <w:b/>
      <w:bCs/>
      <w:sz w:val="28"/>
    </w:rPr>
  </w:style>
  <w:style w:type="paragraph" w:styleId="BalloonText">
    <w:name w:val="Balloon Text"/>
    <w:basedOn w:val="Normal"/>
    <w:link w:val="BalloonTextChar"/>
    <w:uiPriority w:val="99"/>
    <w:semiHidden/>
    <w:unhideWhenUsed/>
    <w:rsid w:val="008675BF"/>
    <w:rPr>
      <w:rFonts w:ascii="Segoe UI" w:hAnsi="Segoe UI" w:cs="Segoe UI"/>
      <w:sz w:val="18"/>
      <w:szCs w:val="18"/>
    </w:rPr>
  </w:style>
  <w:style w:type="character" w:customStyle="1" w:styleId="BalloonTextChar">
    <w:name w:val="Balloon Text Char"/>
    <w:link w:val="BalloonText"/>
    <w:uiPriority w:val="99"/>
    <w:semiHidden/>
    <w:rsid w:val="008675BF"/>
    <w:rPr>
      <w:rFonts w:ascii="Segoe UI" w:hAnsi="Segoe UI" w:cs="Segoe UI"/>
      <w:sz w:val="18"/>
      <w:szCs w:val="18"/>
    </w:rPr>
  </w:style>
  <w:style w:type="character" w:customStyle="1" w:styleId="Heading3Char">
    <w:name w:val="Heading 3 Char"/>
    <w:link w:val="Heading3"/>
    <w:uiPriority w:val="9"/>
    <w:semiHidden/>
    <w:rsid w:val="00F06F75"/>
    <w:rPr>
      <w:rFonts w:ascii="Calibri Light" w:eastAsia="Times New Roman" w:hAnsi="Calibri Light" w:cs="Times New Roman"/>
      <w:b/>
      <w:bCs/>
      <w:sz w:val="26"/>
      <w:szCs w:val="26"/>
    </w:rPr>
  </w:style>
  <w:style w:type="character" w:styleId="Emphasis">
    <w:name w:val="Emphasis"/>
    <w:qFormat/>
    <w:rsid w:val="00F06F75"/>
    <w:rPr>
      <w:i/>
      <w:iCs/>
    </w:rPr>
  </w:style>
  <w:style w:type="character" w:styleId="FootnoteReference">
    <w:name w:val="footnote reference"/>
    <w:rsid w:val="00F06F75"/>
    <w:rPr>
      <w:vertAlign w:val="superscript"/>
    </w:rPr>
  </w:style>
  <w:style w:type="paragraph" w:styleId="FootnoteText">
    <w:name w:val="footnote text"/>
    <w:basedOn w:val="Normal"/>
    <w:link w:val="FootnoteTextChar"/>
    <w:rsid w:val="0017462F"/>
  </w:style>
  <w:style w:type="character" w:customStyle="1" w:styleId="FootnoteTextChar">
    <w:name w:val="Footnote Text Char"/>
    <w:basedOn w:val="DefaultParagraphFont"/>
    <w:link w:val="FootnoteText"/>
    <w:rsid w:val="0017462F"/>
  </w:style>
  <w:style w:type="table" w:styleId="TableGrid">
    <w:name w:val="Table Grid"/>
    <w:basedOn w:val="TableNormal"/>
    <w:uiPriority w:val="39"/>
    <w:rsid w:val="009F0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3119"/>
    <w:rPr>
      <w:color w:val="605E5C"/>
      <w:shd w:val="clear" w:color="auto" w:fill="E1DFDD"/>
    </w:rPr>
  </w:style>
  <w:style w:type="paragraph" w:styleId="Header">
    <w:name w:val="header"/>
    <w:basedOn w:val="Normal"/>
    <w:link w:val="HeaderChar"/>
    <w:uiPriority w:val="99"/>
    <w:unhideWhenUsed/>
    <w:rsid w:val="00633119"/>
    <w:pPr>
      <w:tabs>
        <w:tab w:val="center" w:pos="4680"/>
        <w:tab w:val="right" w:pos="9360"/>
      </w:tabs>
    </w:pPr>
  </w:style>
  <w:style w:type="character" w:customStyle="1" w:styleId="HeaderChar">
    <w:name w:val="Header Char"/>
    <w:basedOn w:val="DefaultParagraphFont"/>
    <w:link w:val="Header"/>
    <w:uiPriority w:val="99"/>
    <w:rsid w:val="0063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utopia.org/blog/enliven-class-discussion-with-gallery-walks-rebecca-alb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noschese.wordpress.com/2010/08/06/the-2-interactive-whiteboard/" TargetMode="External"/><Relationship Id="rId2" Type="http://schemas.openxmlformats.org/officeDocument/2006/relationships/hyperlink" Target="https://www.nextgenscience.org/" TargetMode="External"/><Relationship Id="rId1" Type="http://schemas.openxmlformats.org/officeDocument/2006/relationships/hyperlink" Target="https://serendipstudio.org/exchange/bioactivities/GeneticsWebSearch" TargetMode="External"/><Relationship Id="rId4" Type="http://schemas.openxmlformats.org/officeDocument/2006/relationships/hyperlink" Target="https://sciedandmisinfo.stanford.edu/sites/g/files/sbiybj25316/files/media/file/why_trust_science-e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B69C5-77F4-4870-886B-ED26FF60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genetics web search TN</vt:lpstr>
    </vt:vector>
  </TitlesOfParts>
  <Company> </Company>
  <LinksUpToDate>false</LinksUpToDate>
  <CharactersWithSpaces>3450</CharactersWithSpaces>
  <SharedDoc>false</SharedDoc>
  <HLinks>
    <vt:vector size="6" baseType="variant">
      <vt:variant>
        <vt:i4>4194315</vt:i4>
      </vt:variant>
      <vt:variant>
        <vt:i4>0</vt:i4>
      </vt:variant>
      <vt:variant>
        <vt:i4>0</vt:i4>
      </vt:variant>
      <vt:variant>
        <vt:i4>5</vt:i4>
      </vt:variant>
      <vt:variant>
        <vt:lpwstr>http://www.scientificsonline.com/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genetics web search TN</dc:title>
  <dc:subject/>
  <dc:creator>Valued Gateway Customer</dc:creator>
  <cp:keywords/>
  <cp:lastModifiedBy>Ingrid Waldron</cp:lastModifiedBy>
  <cp:revision>9</cp:revision>
  <cp:lastPrinted>2024-05-21T12:59:00Z</cp:lastPrinted>
  <dcterms:created xsi:type="dcterms:W3CDTF">2024-05-04T14:48:00Z</dcterms:created>
  <dcterms:modified xsi:type="dcterms:W3CDTF">2024-06-21T09:34:00Z</dcterms:modified>
</cp:coreProperties>
</file>